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13B38" w:rsidTr="00113B3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13B38" w:rsidRDefault="00113B3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13B38" w:rsidRDefault="00113B38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113B38" w:rsidRDefault="00113B38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13B38" w:rsidRDefault="00113B38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13B3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13B38" w:rsidRDefault="00113B38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№23</w:t>
                  </w:r>
                </w:p>
                <w:p w:rsidR="00113B38" w:rsidRDefault="00113B3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28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ноября</w:t>
                  </w:r>
                </w:p>
                <w:p w:rsidR="00113B38" w:rsidRDefault="00113B3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13B38" w:rsidRDefault="00113B38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13B38" w:rsidRPr="00113B38" w:rsidRDefault="00113B38" w:rsidP="00113B3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113B38" w:rsidRPr="00113B38" w:rsidRDefault="00113B38" w:rsidP="00113B38">
      <w:pPr>
        <w:jc w:val="center"/>
        <w:rPr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113B38" w:rsidRPr="00113B38" w:rsidRDefault="00113B38" w:rsidP="00113B38">
      <w:pPr>
        <w:jc w:val="center"/>
        <w:rPr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113B38" w:rsidRPr="00113B38" w:rsidRDefault="00113B38" w:rsidP="0011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13B38" w:rsidRPr="00113B38" w:rsidRDefault="00113B38" w:rsidP="0011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13B38" w:rsidRPr="00113B38" w:rsidRDefault="00113B38" w:rsidP="00113B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B38">
        <w:rPr>
          <w:rFonts w:ascii="Times New Roman" w:hAnsi="Times New Roman" w:cs="Times New Roman"/>
          <w:sz w:val="24"/>
          <w:szCs w:val="24"/>
          <w:u w:val="single"/>
        </w:rPr>
        <w:t>От 28 ноября 2019 г №23</w:t>
      </w:r>
    </w:p>
    <w:p w:rsidR="00113B38" w:rsidRPr="00113B38" w:rsidRDefault="00113B38" w:rsidP="00113B38">
      <w:pPr>
        <w:contextualSpacing/>
        <w:rPr>
          <w:rFonts w:ascii="Times New Roman" w:hAnsi="Times New Roman" w:cs="Times New Roman"/>
          <w:sz w:val="20"/>
          <w:szCs w:val="20"/>
        </w:rPr>
      </w:pPr>
      <w:r w:rsidRPr="00113B38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spellStart"/>
      <w:r w:rsidRPr="00113B3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13B3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13B38">
        <w:rPr>
          <w:rFonts w:ascii="Times New Roman" w:hAnsi="Times New Roman" w:cs="Times New Roman"/>
          <w:sz w:val="20"/>
          <w:szCs w:val="20"/>
        </w:rPr>
        <w:t>олонцы</w:t>
      </w:r>
      <w:proofErr w:type="spellEnd"/>
    </w:p>
    <w:p w:rsidR="00113B38" w:rsidRPr="00113B38" w:rsidRDefault="00113B38" w:rsidP="00113B3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3B38">
        <w:rPr>
          <w:rFonts w:ascii="Times New Roman" w:hAnsi="Times New Roman" w:cs="Times New Roman"/>
          <w:b/>
          <w:sz w:val="24"/>
          <w:szCs w:val="24"/>
        </w:rPr>
        <w:t xml:space="preserve">О введении в действие земельного налога, </w:t>
      </w:r>
    </w:p>
    <w:p w:rsidR="00113B38" w:rsidRPr="00113B38" w:rsidRDefault="00113B38" w:rsidP="00113B3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3B38">
        <w:rPr>
          <w:rFonts w:ascii="Times New Roman" w:hAnsi="Times New Roman" w:cs="Times New Roman"/>
          <w:b/>
          <w:sz w:val="24"/>
          <w:szCs w:val="24"/>
        </w:rPr>
        <w:t>установлении</w:t>
      </w:r>
      <w:proofErr w:type="gramEnd"/>
      <w:r w:rsidRPr="00113B38">
        <w:rPr>
          <w:rFonts w:ascii="Times New Roman" w:hAnsi="Times New Roman" w:cs="Times New Roman"/>
          <w:b/>
          <w:sz w:val="24"/>
          <w:szCs w:val="24"/>
        </w:rPr>
        <w:t xml:space="preserve"> ставок и сроков его уплаты</w:t>
      </w:r>
    </w:p>
    <w:p w:rsidR="00113B38" w:rsidRPr="00113B38" w:rsidRDefault="00113B38" w:rsidP="00113B38">
      <w:pPr>
        <w:tabs>
          <w:tab w:val="left" w:pos="34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 xml:space="preserve">В соответствии с главой 31 Налогового кодекса Российской Федерации и Уставом Солонецкого сельского поселения Воробьевского муниципального района Воронежской области, Совет народных депутатов Солонецкого сельского поселения Воробьевского муниципального района Воронежской области </w:t>
      </w:r>
      <w:proofErr w:type="gramStart"/>
      <w:r w:rsidRPr="00113B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13B38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1. Ввести в действие на территории Солонецкого сельского поселения Воробьевского муниципального района земельный налог на земельные участки, расположенные в пределах Солонецкого сельского Воробьевского муниципального района, с 1 января 2020 года.</w:t>
      </w:r>
    </w:p>
    <w:p w:rsidR="00113B38" w:rsidRPr="00113B38" w:rsidRDefault="00113B38" w:rsidP="00113B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color w:val="000000"/>
          <w:sz w:val="24"/>
          <w:szCs w:val="24"/>
        </w:rPr>
        <w:t>2. Установить следующие налоговые ставки.</w:t>
      </w:r>
    </w:p>
    <w:p w:rsidR="00113B38" w:rsidRPr="00113B38" w:rsidRDefault="00113B38" w:rsidP="00113B38">
      <w:pPr>
        <w:autoSpaceDE w:val="0"/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eastAsia="Calibri" w:hAnsi="Times New Roman" w:cs="Times New Roman"/>
          <w:bCs/>
          <w:sz w:val="24"/>
          <w:szCs w:val="24"/>
        </w:rPr>
        <w:t>2.1. 0,3 процента в отношении земельных участков:</w:t>
      </w:r>
    </w:p>
    <w:p w:rsidR="00113B38" w:rsidRPr="00113B38" w:rsidRDefault="00113B38" w:rsidP="00113B38">
      <w:pPr>
        <w:autoSpaceDE w:val="0"/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eastAsia="Calibri" w:hAnsi="Times New Roman" w:cs="Times New Roman"/>
          <w:bCs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3B38" w:rsidRPr="00113B38" w:rsidRDefault="00113B38" w:rsidP="00113B38">
      <w:pPr>
        <w:ind w:firstLine="709"/>
        <w:contextualSpacing/>
        <w:jc w:val="both"/>
        <w:rPr>
          <w:rFonts w:ascii="Verdana" w:hAnsi="Verdana" w:cs="Verdana"/>
          <w:sz w:val="24"/>
          <w:szCs w:val="24"/>
        </w:rPr>
      </w:pPr>
      <w:proofErr w:type="gramStart"/>
      <w:r w:rsidRPr="00113B38">
        <w:rPr>
          <w:rFonts w:ascii="Times New Roman" w:eastAsia="Calibri" w:hAnsi="Times New Roman" w:cs="Times New Roman"/>
          <w:bCs/>
          <w:sz w:val="24"/>
          <w:szCs w:val="24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113B38">
        <w:rPr>
          <w:rFonts w:ascii="Times New Roman" w:hAnsi="Times New Roman" w:cs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113B38"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:rsidR="00113B38" w:rsidRPr="00113B38" w:rsidRDefault="00113B38" w:rsidP="00113B38">
      <w:pPr>
        <w:pStyle w:val="a3"/>
        <w:autoSpaceDE w:val="0"/>
        <w:ind w:left="0" w:firstLine="709"/>
        <w:contextualSpacing/>
        <w:rPr>
          <w:rFonts w:ascii="Times New Roman" w:eastAsia="Calibri" w:hAnsi="Times New Roman" w:cs="Times New Roman"/>
          <w:bCs/>
        </w:rPr>
      </w:pPr>
      <w:r w:rsidRPr="00113B38">
        <w:rPr>
          <w:rFonts w:ascii="Times New Roman" w:eastAsia="Calibri" w:hAnsi="Times New Roman" w:cs="Times New Roman"/>
          <w:bCs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13B38">
        <w:rPr>
          <w:rFonts w:ascii="Times New Roman" w:eastAsia="Calibri" w:hAnsi="Times New Roman" w:cs="Times New Roman"/>
          <w:bCs/>
        </w:rPr>
        <w:lastRenderedPageBreak/>
        <w:t>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13B38" w:rsidRPr="00113B38" w:rsidRDefault="00113B38" w:rsidP="00113B38">
      <w:pPr>
        <w:pStyle w:val="a3"/>
        <w:autoSpaceDE w:val="0"/>
        <w:ind w:left="0" w:firstLine="709"/>
        <w:contextualSpacing/>
        <w:rPr>
          <w:rFonts w:ascii="Times New Roman" w:eastAsia="Calibri" w:hAnsi="Times New Roman" w:cs="Times New Roman"/>
          <w:bCs/>
        </w:rPr>
      </w:pPr>
      <w:r w:rsidRPr="00113B38">
        <w:rPr>
          <w:rFonts w:ascii="Times New Roman" w:eastAsia="Calibri" w:hAnsi="Times New Roman" w:cs="Times New Roman"/>
          <w:bCs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13B38" w:rsidRPr="00113B38" w:rsidRDefault="00113B38" w:rsidP="00113B38">
      <w:pPr>
        <w:pStyle w:val="a3"/>
        <w:autoSpaceDE w:val="0"/>
        <w:ind w:left="0" w:firstLine="709"/>
        <w:contextualSpacing/>
      </w:pPr>
      <w:r w:rsidRPr="00113B38">
        <w:rPr>
          <w:rFonts w:ascii="Times New Roman" w:eastAsia="Calibri" w:hAnsi="Times New Roman" w:cs="Times New Roman"/>
        </w:rPr>
        <w:t>2.2. 1,5 процента в отношении прочих земельных участков.</w:t>
      </w:r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3. Освободить от уплаты земельного налога следующие категории налогоплательщиков:</w:t>
      </w:r>
    </w:p>
    <w:p w:rsidR="00113B38" w:rsidRPr="00113B38" w:rsidRDefault="00113B38" w:rsidP="00113B3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3B38">
        <w:rPr>
          <w:rFonts w:ascii="Times New Roman" w:hAnsi="Times New Roman"/>
          <w:color w:val="000000" w:themeColor="text1"/>
          <w:sz w:val="24"/>
          <w:szCs w:val="24"/>
        </w:rPr>
        <w:t>- добровольных пожарных, состоящих в реестре добровольных пожарных Воронежской области не менее трех лет, в территориальных добровольных пожарных командах (дружинах), в отношении земельных участков, используемых для ведения личного подсобного хозяйства площадью не более 0,25 га.</w:t>
      </w:r>
    </w:p>
    <w:p w:rsidR="00113B38" w:rsidRPr="00113B38" w:rsidRDefault="00113B38" w:rsidP="00113B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113B38">
        <w:rPr>
          <w:rFonts w:ascii="Times New Roman" w:hAnsi="Times New Roman"/>
          <w:sz w:val="24"/>
          <w:szCs w:val="24"/>
        </w:rPr>
        <w:t>- организации - в отношении земельных участков, занятых автомобильными дорогами общего пользования местного значения</w:t>
      </w:r>
      <w:proofErr w:type="gramStart"/>
      <w:r w:rsidRPr="00113B38">
        <w:rPr>
          <w:rFonts w:ascii="Times New Roman" w:hAnsi="Times New Roman"/>
          <w:sz w:val="24"/>
          <w:szCs w:val="24"/>
        </w:rPr>
        <w:t>.».</w:t>
      </w:r>
      <w:proofErr w:type="gramEnd"/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4. Установить для налогоплательщиков – организаций  отчетный период: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- первый квартал, второй квартал и третий квартал календарного года.</w:t>
      </w:r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5. Установить для налогоплательщиков – организаций:</w:t>
      </w:r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5.1. срок уплаты земельного налога:</w:t>
      </w:r>
    </w:p>
    <w:p w:rsidR="00113B38" w:rsidRPr="00113B38" w:rsidRDefault="00113B38" w:rsidP="00113B38">
      <w:pPr>
        <w:pStyle w:val="a3"/>
        <w:ind w:left="0" w:firstLine="709"/>
        <w:contextualSpacing/>
      </w:pPr>
      <w:r w:rsidRPr="00113B38">
        <w:rPr>
          <w:rFonts w:ascii="Times New Roman" w:hAnsi="Times New Roman" w:cs="Times New Roman"/>
        </w:rPr>
        <w:t>- не позднее 1 марта</w:t>
      </w:r>
      <w:r w:rsidRPr="00113B38">
        <w:rPr>
          <w:rFonts w:ascii="Times New Roman" w:hAnsi="Times New Roman" w:cs="Times New Roman"/>
          <w:color w:val="FF0000"/>
        </w:rPr>
        <w:t xml:space="preserve"> </w:t>
      </w:r>
      <w:r w:rsidRPr="00113B38">
        <w:rPr>
          <w:rFonts w:ascii="Times New Roman" w:hAnsi="Times New Roman" w:cs="Times New Roman"/>
        </w:rPr>
        <w:t>года, следующего за истекшим налоговым периодом.</w:t>
      </w:r>
    </w:p>
    <w:p w:rsidR="00113B38" w:rsidRPr="00113B38" w:rsidRDefault="00113B38" w:rsidP="00113B38">
      <w:pPr>
        <w:ind w:firstLine="709"/>
        <w:contextualSpacing/>
        <w:jc w:val="both"/>
        <w:rPr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5.2. срок уплаты авансовых платежей по земельному налогу: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proofErr w:type="gramStart"/>
      <w:r w:rsidRPr="00113B38">
        <w:rPr>
          <w:rFonts w:ascii="Times New Roman" w:hAnsi="Times New Roman" w:cs="Times New Roman"/>
        </w:rPr>
        <w:t>С 1 января 2021 года срок уплаты земельного налога и авансовых платежей по земельному налогу налогоплательщикам-организациям устанавливается для юридических лиц в соответствии с абзацем 2 п. 1 ст. 397 Налогового кодекса Российской Федерации (в редакции Федерального закона от 29.09.2019 № 325-ФЗ «О внесении изменений в части первую и вторую Налогового кодекса Российской Федерации»).</w:t>
      </w:r>
      <w:proofErr w:type="gramEnd"/>
    </w:p>
    <w:p w:rsidR="00113B38" w:rsidRPr="00113B38" w:rsidRDefault="00113B38" w:rsidP="00113B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6.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113B38" w:rsidRPr="00113B38" w:rsidRDefault="00113B38" w:rsidP="00113B38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 xml:space="preserve">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  <w:r w:rsidRPr="00113B38">
        <w:rPr>
          <w:rFonts w:ascii="Times New Roman" w:eastAsia="Calibri" w:hAnsi="Times New Roman" w:cs="Times New Roman"/>
          <w:sz w:val="24"/>
          <w:szCs w:val="24"/>
        </w:rPr>
        <w:t xml:space="preserve">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В случае</w:t>
      </w:r>
      <w:proofErr w:type="gramStart"/>
      <w:r w:rsidRPr="00113B38">
        <w:rPr>
          <w:rFonts w:ascii="Times New Roman" w:hAnsi="Times New Roman" w:cs="Times New Roman"/>
        </w:rPr>
        <w:t>,</w:t>
      </w:r>
      <w:proofErr w:type="gramEnd"/>
      <w:r w:rsidRPr="00113B38">
        <w:rPr>
          <w:rFonts w:ascii="Times New Roman" w:hAnsi="Times New Roman" w:cs="Times New Roman"/>
        </w:rPr>
        <w:t xml:space="preserve"> если при применении налогового вычета в соответствии со статьей 391  Налогового кодекса Российской Федерации налоговая база принимает отрицательное значение, в целях исчисления налога такая налоговая база принимается равной нулю</w:t>
      </w:r>
    </w:p>
    <w:p w:rsidR="00113B38" w:rsidRPr="00113B38" w:rsidRDefault="00113B38" w:rsidP="00113B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lastRenderedPageBreak/>
        <w:t>7. Со дня вступления в силу настоящего решения признать утратившими силу следующие решения Совета народных депутатов сельского поселения Воробьевского муниципального района Воронежской области:</w:t>
      </w:r>
    </w:p>
    <w:p w:rsidR="00113B38" w:rsidRPr="00113B38" w:rsidRDefault="00113B38" w:rsidP="00113B38">
      <w:pPr>
        <w:pStyle w:val="a3"/>
        <w:ind w:left="0" w:firstLine="709"/>
        <w:contextualSpacing/>
        <w:rPr>
          <w:rFonts w:ascii="Times New Roman" w:hAnsi="Times New Roman" w:cs="Times New Roman"/>
        </w:rPr>
      </w:pPr>
      <w:r w:rsidRPr="00113B38">
        <w:rPr>
          <w:rFonts w:ascii="Times New Roman" w:hAnsi="Times New Roman" w:cs="Times New Roman"/>
        </w:rPr>
        <w:t>- решение Совета народных депутатов Солонецкого  сельского поселения Воробьевского муниципального района от «02» ноября 2015 № 16 «</w:t>
      </w:r>
      <w:r w:rsidRPr="00113B38">
        <w:rPr>
          <w:rFonts w:ascii="Times New Roman" w:hAnsi="Times New Roman" w:cs="Times New Roman"/>
          <w:lang w:eastAsia="en-US"/>
        </w:rPr>
        <w:t>О земельном налоге за земли, находящиеся в пределах границ Солонецкого сельского поселения</w:t>
      </w:r>
      <w:r w:rsidRPr="00113B38">
        <w:rPr>
          <w:rFonts w:ascii="Times New Roman" w:hAnsi="Times New Roman" w:cs="Times New Roman"/>
        </w:rPr>
        <w:t>»;</w:t>
      </w:r>
    </w:p>
    <w:p w:rsidR="00113B38" w:rsidRPr="00113B38" w:rsidRDefault="00113B38" w:rsidP="00113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13B38">
        <w:rPr>
          <w:rFonts w:ascii="Times New Roman" w:hAnsi="Times New Roman"/>
          <w:sz w:val="24"/>
          <w:szCs w:val="24"/>
        </w:rPr>
        <w:t>- решение Совета народных депутатов Солонецкого  сельского поселения Воробьевского муниципального района от 28.11.2018 г №26 «О внесении изменений в решение Совета народных депутатов от 02.11.2015 г.№16  «О земельном налоге за земли, находящиеся в пределах границ Солонецкого сельского поселения»</w:t>
      </w:r>
    </w:p>
    <w:p w:rsidR="00113B38" w:rsidRPr="00113B38" w:rsidRDefault="00113B38" w:rsidP="00113B38">
      <w:pPr>
        <w:spacing w:line="28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8. Опубликовать  настоящее решение в муниципальном печатном средстве массовой информации «Вестник Солонецкого сельского поселения».</w:t>
      </w:r>
    </w:p>
    <w:p w:rsidR="00113B38" w:rsidRPr="00113B38" w:rsidRDefault="00113B38" w:rsidP="00113B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B38">
        <w:rPr>
          <w:rFonts w:ascii="Times New Roman" w:hAnsi="Times New Roman" w:cs="Times New Roman"/>
          <w:sz w:val="24"/>
          <w:szCs w:val="24"/>
        </w:rPr>
        <w:t>9.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113B38" w:rsidRPr="00113B38" w:rsidRDefault="00113B38" w:rsidP="00113B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B38" w:rsidRPr="00113B38" w:rsidRDefault="00113B38" w:rsidP="00113B38">
      <w:pPr>
        <w:pStyle w:val="a4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113B38">
        <w:rPr>
          <w:rFonts w:ascii="Times New Roman" w:hAnsi="Times New Roman"/>
          <w:b/>
          <w:sz w:val="24"/>
          <w:szCs w:val="24"/>
        </w:rPr>
        <w:t>Председатель Совета народных депутатов</w:t>
      </w:r>
    </w:p>
    <w:p w:rsidR="00113B38" w:rsidRPr="00113B38" w:rsidRDefault="00113B38" w:rsidP="00113B38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113B38">
        <w:rPr>
          <w:rFonts w:ascii="Times New Roman" w:hAnsi="Times New Roman"/>
          <w:b/>
          <w:sz w:val="24"/>
          <w:szCs w:val="24"/>
        </w:rPr>
        <w:t xml:space="preserve">Солонецкого сельского поселения                                     В.А. Подлесных </w:t>
      </w:r>
      <w:bookmarkStart w:id="0" w:name="_GoBack"/>
      <w:bookmarkEnd w:id="0"/>
    </w:p>
    <w:p w:rsidR="00113B38" w:rsidRDefault="00113B38" w:rsidP="00113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84BEB">
        <w:rPr>
          <w:rFonts w:ascii="Times New Roman" w:hAnsi="Times New Roman" w:cs="Times New Roman"/>
          <w:b/>
          <w:sz w:val="24"/>
          <w:szCs w:val="24"/>
        </w:rPr>
        <w:t xml:space="preserve">ременно </w:t>
      </w:r>
      <w:proofErr w:type="gramStart"/>
      <w:r w:rsidRPr="00F84BEB">
        <w:rPr>
          <w:rFonts w:ascii="Times New Roman" w:hAnsi="Times New Roman" w:cs="Times New Roman"/>
          <w:b/>
          <w:sz w:val="24"/>
          <w:szCs w:val="24"/>
        </w:rPr>
        <w:t>исполняющий</w:t>
      </w:r>
      <w:proofErr w:type="gramEnd"/>
      <w:r w:rsidRPr="00F84BEB">
        <w:rPr>
          <w:rFonts w:ascii="Times New Roman" w:hAnsi="Times New Roman" w:cs="Times New Roman"/>
          <w:b/>
          <w:sz w:val="24"/>
          <w:szCs w:val="24"/>
        </w:rPr>
        <w:t xml:space="preserve"> обязанности </w:t>
      </w:r>
    </w:p>
    <w:p w:rsidR="00113B38" w:rsidRPr="00113B38" w:rsidRDefault="00113B38" w:rsidP="00113B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84BEB">
        <w:rPr>
          <w:rFonts w:ascii="Times New Roman" w:hAnsi="Times New Roman" w:cs="Times New Roman"/>
          <w:b/>
          <w:sz w:val="24"/>
          <w:szCs w:val="24"/>
        </w:rPr>
        <w:t>главы сельского пос</w:t>
      </w:r>
      <w:r w:rsidRPr="00F84BEB">
        <w:rPr>
          <w:rFonts w:ascii="Times New Roman" w:hAnsi="Times New Roman" w:cs="Times New Roman"/>
          <w:b/>
          <w:sz w:val="24"/>
          <w:szCs w:val="24"/>
        </w:rPr>
        <w:t>е</w:t>
      </w:r>
      <w:r w:rsidRPr="00F84BEB">
        <w:rPr>
          <w:rFonts w:ascii="Times New Roman" w:hAnsi="Times New Roman" w:cs="Times New Roman"/>
          <w:b/>
          <w:sz w:val="24"/>
          <w:szCs w:val="24"/>
        </w:rPr>
        <w:t>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113B38">
        <w:rPr>
          <w:rFonts w:ascii="Times New Roman" w:hAnsi="Times New Roman"/>
          <w:b/>
          <w:sz w:val="24"/>
          <w:szCs w:val="24"/>
        </w:rPr>
        <w:t>М.Ю.Болучевский</w:t>
      </w:r>
      <w:proofErr w:type="spellEnd"/>
      <w:r w:rsidRPr="00113B3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113B38" w:rsidRPr="00113B38" w:rsidRDefault="00113B38" w:rsidP="00113B38">
      <w:pPr>
        <w:ind w:firstLine="709"/>
        <w:rPr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13B38" w:rsidTr="007D08D0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113B38" w:rsidRDefault="00113B38" w:rsidP="007D08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113B38" w:rsidRDefault="00113B38" w:rsidP="00113B3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38"/>
    <w:rsid w:val="000112C3"/>
    <w:rsid w:val="00113B38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3B38"/>
    <w:pPr>
      <w:spacing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uiPriority w:val="1"/>
    <w:qFormat/>
    <w:rsid w:val="00113B38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3B38"/>
    <w:pPr>
      <w:spacing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No Spacing"/>
    <w:uiPriority w:val="1"/>
    <w:qFormat/>
    <w:rsid w:val="00113B38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2019-12-03T09:41:00Z</dcterms:created>
  <dcterms:modified xsi:type="dcterms:W3CDTF">2019-12-03T09:46:00Z</dcterms:modified>
</cp:coreProperties>
</file>