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2" w:rsidRPr="005629E2" w:rsidRDefault="005629E2" w:rsidP="005629E2">
      <w:pPr>
        <w:jc w:val="center"/>
        <w:rPr>
          <w:b/>
          <w:bCs/>
          <w:sz w:val="32"/>
          <w:szCs w:val="32"/>
        </w:rPr>
      </w:pPr>
      <w:r w:rsidRPr="005629E2">
        <w:rPr>
          <w:b/>
          <w:bCs/>
          <w:sz w:val="32"/>
          <w:szCs w:val="32"/>
        </w:rPr>
        <w:t xml:space="preserve">АДМИНИСТРАЦИЯ </w:t>
      </w:r>
    </w:p>
    <w:p w:rsidR="005629E2" w:rsidRPr="005629E2" w:rsidRDefault="005629E2" w:rsidP="005629E2">
      <w:pPr>
        <w:jc w:val="center"/>
        <w:rPr>
          <w:b/>
          <w:bCs/>
          <w:sz w:val="32"/>
          <w:szCs w:val="32"/>
        </w:rPr>
      </w:pPr>
      <w:r w:rsidRPr="005629E2">
        <w:rPr>
          <w:b/>
          <w:bCs/>
          <w:sz w:val="32"/>
          <w:szCs w:val="32"/>
        </w:rPr>
        <w:t>СОЛОНЕЦКОГО СЕЛЬСКОГО ПОСЕЛЕНИЯ</w:t>
      </w:r>
    </w:p>
    <w:p w:rsidR="005629E2" w:rsidRPr="005629E2" w:rsidRDefault="005629E2" w:rsidP="005629E2">
      <w:pPr>
        <w:jc w:val="center"/>
        <w:rPr>
          <w:b/>
          <w:bCs/>
          <w:sz w:val="32"/>
          <w:szCs w:val="32"/>
        </w:rPr>
      </w:pPr>
      <w:r w:rsidRPr="005629E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ВОРОБЬЁВСКОГО</w:t>
      </w:r>
      <w:r w:rsidRPr="005629E2">
        <w:rPr>
          <w:b/>
          <w:bCs/>
          <w:sz w:val="32"/>
          <w:szCs w:val="32"/>
        </w:rPr>
        <w:t xml:space="preserve"> МУНИЦИПАЛЬНОГО РАЙОНА                                 ВОРОНЕЖСКОЙ  ОБЛАСТИ</w:t>
      </w:r>
    </w:p>
    <w:p w:rsidR="005629E2" w:rsidRPr="005629E2" w:rsidRDefault="005629E2" w:rsidP="005629E2">
      <w:pPr>
        <w:jc w:val="center"/>
        <w:rPr>
          <w:b/>
          <w:bCs/>
          <w:sz w:val="16"/>
          <w:szCs w:val="16"/>
        </w:rPr>
      </w:pPr>
    </w:p>
    <w:p w:rsidR="005629E2" w:rsidRPr="005629E2" w:rsidRDefault="005629E2" w:rsidP="005629E2">
      <w:pPr>
        <w:rPr>
          <w:b/>
          <w:sz w:val="10"/>
        </w:rPr>
      </w:pPr>
    </w:p>
    <w:p w:rsidR="005629E2" w:rsidRPr="0062334E" w:rsidRDefault="005629E2" w:rsidP="005629E2">
      <w:pPr>
        <w:keepNext/>
        <w:jc w:val="center"/>
        <w:outlineLvl w:val="2"/>
        <w:rPr>
          <w:b/>
          <w:sz w:val="36"/>
          <w:szCs w:val="36"/>
        </w:rPr>
      </w:pPr>
      <w:r w:rsidRPr="005629E2">
        <w:rPr>
          <w:b/>
          <w:sz w:val="32"/>
          <w:szCs w:val="20"/>
        </w:rPr>
        <w:t xml:space="preserve"> </w:t>
      </w:r>
      <w:proofErr w:type="gramStart"/>
      <w:r w:rsidRPr="0062334E">
        <w:rPr>
          <w:b/>
          <w:sz w:val="36"/>
          <w:szCs w:val="36"/>
        </w:rPr>
        <w:t>П</w:t>
      </w:r>
      <w:proofErr w:type="gramEnd"/>
      <w:r w:rsidRPr="0062334E">
        <w:rPr>
          <w:b/>
          <w:sz w:val="36"/>
          <w:szCs w:val="36"/>
        </w:rPr>
        <w:t xml:space="preserve"> О С Т А Н О В Л Е Н И Е</w:t>
      </w:r>
    </w:p>
    <w:p w:rsidR="005629E2" w:rsidRPr="005629E2" w:rsidRDefault="005629E2" w:rsidP="005629E2">
      <w:pPr>
        <w:ind w:left="142" w:firstLine="4536"/>
        <w:rPr>
          <w:b/>
          <w:sz w:val="24"/>
        </w:rPr>
      </w:pPr>
    </w:p>
    <w:p w:rsidR="005629E2" w:rsidRPr="005629E2" w:rsidRDefault="005629E2" w:rsidP="005629E2">
      <w:pPr>
        <w:rPr>
          <w:u w:val="single"/>
        </w:rPr>
      </w:pPr>
      <w:r w:rsidRPr="005629E2">
        <w:rPr>
          <w:u w:val="single"/>
        </w:rPr>
        <w:t xml:space="preserve">от </w:t>
      </w:r>
      <w:r w:rsidR="002F5A42">
        <w:rPr>
          <w:u w:val="single"/>
        </w:rPr>
        <w:t xml:space="preserve">27 </w:t>
      </w:r>
      <w:r w:rsidR="00197C3D">
        <w:rPr>
          <w:u w:val="single"/>
        </w:rPr>
        <w:t>декабря 2023 г.  №</w:t>
      </w:r>
      <w:r w:rsidR="002F5A42">
        <w:rPr>
          <w:u w:val="single"/>
        </w:rPr>
        <w:t>179</w:t>
      </w:r>
      <w:r w:rsidR="00197C3D">
        <w:rPr>
          <w:u w:val="single"/>
        </w:rPr>
        <w:t xml:space="preserve"> </w:t>
      </w:r>
    </w:p>
    <w:p w:rsidR="005629E2" w:rsidRPr="005629E2" w:rsidRDefault="005629E2" w:rsidP="005629E2">
      <w:pPr>
        <w:rPr>
          <w:b/>
          <w:sz w:val="20"/>
          <w:szCs w:val="20"/>
        </w:rPr>
      </w:pPr>
      <w:r w:rsidRPr="005629E2">
        <w:rPr>
          <w:b/>
          <w:sz w:val="20"/>
          <w:szCs w:val="20"/>
        </w:rPr>
        <w:t xml:space="preserve">         с. Солонцы</w:t>
      </w:r>
    </w:p>
    <w:p w:rsidR="005629E2" w:rsidRPr="005629E2" w:rsidRDefault="005629E2" w:rsidP="005629E2">
      <w:pPr>
        <w:rPr>
          <w:b/>
          <w:sz w:val="20"/>
          <w:szCs w:val="20"/>
        </w:rPr>
      </w:pPr>
    </w:p>
    <w:p w:rsidR="005629E2" w:rsidRPr="005629E2" w:rsidRDefault="005629E2" w:rsidP="0062334E">
      <w:pPr>
        <w:ind w:firstLine="540"/>
        <w:jc w:val="both"/>
        <w:rPr>
          <w:rFonts w:eastAsia="Calibri"/>
          <w:b/>
          <w:lang w:eastAsia="en-US"/>
        </w:rPr>
      </w:pPr>
      <w:r w:rsidRPr="005629E2">
        <w:rPr>
          <w:rFonts w:eastAsia="Calibri"/>
          <w:b/>
          <w:lang w:eastAsia="en-US"/>
        </w:rPr>
        <w:t>Об утверждении Положения об оплате труда</w:t>
      </w:r>
      <w:r>
        <w:rPr>
          <w:rFonts w:eastAsia="Calibri"/>
          <w:b/>
          <w:lang w:eastAsia="en-US"/>
        </w:rPr>
        <w:t xml:space="preserve"> работников муниципального казё</w:t>
      </w:r>
      <w:r w:rsidRPr="005629E2">
        <w:rPr>
          <w:rFonts w:eastAsia="Calibri"/>
          <w:b/>
          <w:lang w:eastAsia="en-US"/>
        </w:rPr>
        <w:t>нного учреждения культуры «</w:t>
      </w:r>
      <w:proofErr w:type="spellStart"/>
      <w:r w:rsidRPr="005629E2">
        <w:rPr>
          <w:rFonts w:eastAsia="Calibri"/>
          <w:b/>
          <w:lang w:eastAsia="en-US"/>
        </w:rPr>
        <w:t>Солонецкий</w:t>
      </w:r>
      <w:proofErr w:type="spellEnd"/>
      <w:r w:rsidRPr="005629E2">
        <w:rPr>
          <w:rFonts w:eastAsia="Calibri"/>
          <w:b/>
          <w:lang w:eastAsia="en-US"/>
        </w:rPr>
        <w:t xml:space="preserve"> центр культуры» </w:t>
      </w:r>
      <w:proofErr w:type="spellStart"/>
      <w:r w:rsidRPr="005629E2">
        <w:rPr>
          <w:rFonts w:eastAsia="Calibri"/>
          <w:b/>
          <w:lang w:eastAsia="en-US"/>
        </w:rPr>
        <w:t>Солонец</w:t>
      </w:r>
      <w:r>
        <w:rPr>
          <w:rFonts w:eastAsia="Calibri"/>
          <w:b/>
          <w:lang w:eastAsia="en-US"/>
        </w:rPr>
        <w:t>кого</w:t>
      </w:r>
      <w:proofErr w:type="spellEnd"/>
      <w:r>
        <w:rPr>
          <w:rFonts w:eastAsia="Calibri"/>
          <w:b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lang w:eastAsia="en-US"/>
        </w:rPr>
        <w:t>Воробьё</w:t>
      </w:r>
      <w:r w:rsidRPr="005629E2">
        <w:rPr>
          <w:rFonts w:eastAsia="Calibri"/>
          <w:b/>
          <w:lang w:eastAsia="en-US"/>
        </w:rPr>
        <w:t>вского</w:t>
      </w:r>
      <w:proofErr w:type="spellEnd"/>
      <w:r w:rsidRPr="005629E2">
        <w:rPr>
          <w:rFonts w:eastAsia="Calibri"/>
          <w:b/>
          <w:lang w:eastAsia="en-US"/>
        </w:rPr>
        <w:t xml:space="preserve"> муниципального района</w:t>
      </w:r>
    </w:p>
    <w:p w:rsidR="005629E2" w:rsidRPr="005629E2" w:rsidRDefault="005629E2" w:rsidP="005629E2">
      <w:pPr>
        <w:jc w:val="both"/>
        <w:rPr>
          <w:rFonts w:eastAsia="Calibri"/>
          <w:lang w:eastAsia="en-US"/>
        </w:rPr>
      </w:pPr>
    </w:p>
    <w:p w:rsidR="005629E2" w:rsidRPr="005629E2" w:rsidRDefault="005629E2" w:rsidP="005629E2">
      <w:pPr>
        <w:ind w:firstLine="540"/>
        <w:jc w:val="both"/>
        <w:rPr>
          <w:b/>
        </w:rPr>
      </w:pPr>
      <w:r w:rsidRPr="005629E2">
        <w:t xml:space="preserve">В соответствии с Гражданским кодексом Российской Федерации, Трудовым кодексом Российской Федерации,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 </w:t>
      </w:r>
      <w:proofErr w:type="gramStart"/>
      <w:r w:rsidRPr="005629E2">
        <w:t xml:space="preserve">( </w:t>
      </w:r>
      <w:proofErr w:type="gramEnd"/>
      <w:r w:rsidRPr="005629E2">
        <w:t xml:space="preserve">в редакции постановлений правительства Воронежской области  от 10.02.2009 №68, от 19.06.2013 №534, от 25.04.2014 № 366, от 27.12.2016 № 1003, от 13.03.2017 № 175), а также в целях дальнейшего совершенствования системы оплаты труда администрация </w:t>
      </w:r>
      <w:proofErr w:type="spellStart"/>
      <w:r w:rsidRPr="005629E2">
        <w:t>Солонецкого</w:t>
      </w:r>
      <w:proofErr w:type="spellEnd"/>
      <w:r w:rsidRPr="005629E2">
        <w:t xml:space="preserve">  сельского поселения </w:t>
      </w:r>
      <w:proofErr w:type="spellStart"/>
      <w:r>
        <w:t>Воробьё</w:t>
      </w:r>
      <w:r w:rsidRPr="005629E2">
        <w:t>вского</w:t>
      </w:r>
      <w:proofErr w:type="spellEnd"/>
      <w:r w:rsidRPr="005629E2">
        <w:t xml:space="preserve"> муниципального района Воронежской области  </w:t>
      </w:r>
      <w:proofErr w:type="gramStart"/>
      <w:r w:rsidRPr="005629E2">
        <w:rPr>
          <w:b/>
        </w:rPr>
        <w:t>п</w:t>
      </w:r>
      <w:proofErr w:type="gramEnd"/>
      <w:r w:rsidRPr="005629E2">
        <w:rPr>
          <w:b/>
        </w:rPr>
        <w:t xml:space="preserve"> о с т а н о в л я е т:</w:t>
      </w:r>
    </w:p>
    <w:p w:rsidR="005629E2" w:rsidRPr="005629E2" w:rsidRDefault="005629E2" w:rsidP="005629E2">
      <w:pPr>
        <w:jc w:val="both"/>
        <w:rPr>
          <w:rFonts w:eastAsia="Calibri"/>
          <w:bCs/>
          <w:kern w:val="28"/>
          <w:lang w:eastAsia="en-US"/>
        </w:rPr>
      </w:pPr>
      <w:r w:rsidRPr="005629E2">
        <w:rPr>
          <w:rFonts w:eastAsia="Calibri"/>
          <w:lang w:eastAsia="en-US"/>
        </w:rPr>
        <w:t xml:space="preserve">    1.Утвердить прилагаемое Положение об оплате труда </w:t>
      </w:r>
      <w:r w:rsidRPr="005629E2">
        <w:rPr>
          <w:rFonts w:eastAsia="Calibri"/>
          <w:bCs/>
          <w:kern w:val="28"/>
          <w:lang w:eastAsia="en-US"/>
        </w:rPr>
        <w:t xml:space="preserve"> работников </w:t>
      </w:r>
      <w:r>
        <w:rPr>
          <w:rFonts w:eastAsia="Calibri"/>
          <w:bCs/>
          <w:kern w:val="28"/>
          <w:lang w:eastAsia="en-US"/>
        </w:rPr>
        <w:t>муниципального казё</w:t>
      </w:r>
      <w:r w:rsidRPr="005629E2">
        <w:rPr>
          <w:rFonts w:eastAsia="Calibri"/>
          <w:bCs/>
          <w:kern w:val="28"/>
          <w:lang w:eastAsia="en-US"/>
        </w:rPr>
        <w:t>нного учреждения культуры «</w:t>
      </w:r>
      <w:proofErr w:type="spellStart"/>
      <w:r w:rsidRPr="005629E2">
        <w:rPr>
          <w:rFonts w:eastAsia="Calibri"/>
          <w:lang w:eastAsia="en-US"/>
        </w:rPr>
        <w:t>Солонецкий</w:t>
      </w:r>
      <w:proofErr w:type="spellEnd"/>
      <w:r w:rsidRPr="005629E2">
        <w:rPr>
          <w:rFonts w:eastAsia="Calibri"/>
          <w:lang w:eastAsia="en-US"/>
        </w:rPr>
        <w:t xml:space="preserve"> центр культуры» </w:t>
      </w:r>
      <w:proofErr w:type="spellStart"/>
      <w:r w:rsidRPr="005629E2">
        <w:rPr>
          <w:rFonts w:eastAsia="Calibri"/>
          <w:lang w:eastAsia="en-US"/>
        </w:rPr>
        <w:t>Солонецкого</w:t>
      </w:r>
      <w:proofErr w:type="spellEnd"/>
      <w:r w:rsidRPr="005629E2">
        <w:rPr>
          <w:rFonts w:eastAsia="Calibri"/>
          <w:lang w:eastAsia="en-US"/>
        </w:rPr>
        <w:t xml:space="preserve"> сельского поселения </w:t>
      </w:r>
      <w:proofErr w:type="spellStart"/>
      <w:r>
        <w:rPr>
          <w:rFonts w:eastAsia="Calibri"/>
          <w:lang w:eastAsia="en-US"/>
        </w:rPr>
        <w:t>Воробьёвского</w:t>
      </w:r>
      <w:proofErr w:type="spellEnd"/>
      <w:r w:rsidRPr="005629E2">
        <w:rPr>
          <w:rFonts w:eastAsia="Calibri"/>
          <w:lang w:eastAsia="en-US"/>
        </w:rPr>
        <w:t xml:space="preserve"> муниципального района</w:t>
      </w:r>
      <w:r w:rsidRPr="005629E2">
        <w:rPr>
          <w:rFonts w:eastAsia="Calibri"/>
          <w:bCs/>
          <w:kern w:val="28"/>
          <w:lang w:eastAsia="en-US"/>
        </w:rPr>
        <w:t>.</w:t>
      </w:r>
    </w:p>
    <w:p w:rsidR="005629E2" w:rsidRPr="005629E2" w:rsidRDefault="005629E2" w:rsidP="005629E2">
      <w:pPr>
        <w:pStyle w:val="a4"/>
        <w:jc w:val="both"/>
        <w:rPr>
          <w:rFonts w:eastAsia="Calibri"/>
          <w:lang w:eastAsia="en-US"/>
        </w:rPr>
      </w:pPr>
      <w:r w:rsidRPr="005629E2">
        <w:rPr>
          <w:rFonts w:eastAsia="Calibri"/>
          <w:bCs/>
          <w:kern w:val="28"/>
          <w:lang w:eastAsia="en-US"/>
        </w:rPr>
        <w:t xml:space="preserve">     2. Признать утратившим силу постановление администрации </w:t>
      </w:r>
      <w:proofErr w:type="spellStart"/>
      <w:r w:rsidRPr="005629E2">
        <w:rPr>
          <w:rFonts w:eastAsia="Calibri"/>
          <w:lang w:eastAsia="en-US"/>
        </w:rPr>
        <w:t>Солонецкого</w:t>
      </w:r>
      <w:proofErr w:type="spellEnd"/>
      <w:r w:rsidRPr="005629E2">
        <w:rPr>
          <w:rFonts w:eastAsia="Calibri"/>
          <w:lang w:eastAsia="en-US"/>
        </w:rPr>
        <w:t xml:space="preserve"> сельского поселения </w:t>
      </w:r>
      <w:proofErr w:type="spellStart"/>
      <w:r>
        <w:rPr>
          <w:rFonts w:eastAsia="Calibri"/>
          <w:lang w:eastAsia="en-US"/>
        </w:rPr>
        <w:t>Воробьевского</w:t>
      </w:r>
      <w:proofErr w:type="spellEnd"/>
      <w:r w:rsidRPr="005629E2">
        <w:rPr>
          <w:rFonts w:eastAsia="Calibri"/>
          <w:lang w:eastAsia="en-US"/>
        </w:rPr>
        <w:t xml:space="preserve"> муниципал</w:t>
      </w:r>
      <w:r>
        <w:rPr>
          <w:rFonts w:eastAsia="Calibri"/>
          <w:lang w:eastAsia="en-US"/>
        </w:rPr>
        <w:t>ьного района от 11.01.2019 г</w:t>
      </w:r>
      <w:r w:rsidR="004E0A8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№ 2</w:t>
      </w:r>
      <w:r w:rsidRPr="005629E2">
        <w:rPr>
          <w:rFonts w:eastAsia="Calibri"/>
          <w:lang w:eastAsia="en-US"/>
        </w:rPr>
        <w:t xml:space="preserve"> «Об утверждении Положения об оплате труд</w:t>
      </w:r>
      <w:r w:rsidR="004E0A87">
        <w:rPr>
          <w:rFonts w:eastAsia="Calibri"/>
          <w:lang w:eastAsia="en-US"/>
        </w:rPr>
        <w:t>а работников муниципального казё</w:t>
      </w:r>
      <w:r w:rsidRPr="005629E2">
        <w:rPr>
          <w:rFonts w:eastAsia="Calibri"/>
          <w:lang w:eastAsia="en-US"/>
        </w:rPr>
        <w:t>нного учреждения культуры «</w:t>
      </w:r>
      <w:proofErr w:type="spellStart"/>
      <w:r w:rsidRPr="005629E2">
        <w:rPr>
          <w:rFonts w:eastAsia="Calibri"/>
          <w:lang w:eastAsia="en-US"/>
        </w:rPr>
        <w:t>Солонецкий</w:t>
      </w:r>
      <w:proofErr w:type="spellEnd"/>
      <w:r w:rsidRPr="005629E2">
        <w:rPr>
          <w:rFonts w:eastAsia="Calibri"/>
          <w:lang w:eastAsia="en-US"/>
        </w:rPr>
        <w:t xml:space="preserve"> центр культуры» </w:t>
      </w:r>
      <w:proofErr w:type="spellStart"/>
      <w:r w:rsidRPr="005629E2">
        <w:rPr>
          <w:rFonts w:eastAsia="Calibri"/>
          <w:lang w:eastAsia="en-US"/>
        </w:rPr>
        <w:t>Солонецкого</w:t>
      </w:r>
      <w:proofErr w:type="spellEnd"/>
      <w:r w:rsidRPr="005629E2">
        <w:rPr>
          <w:rFonts w:eastAsia="Calibri"/>
          <w:lang w:eastAsia="en-US"/>
        </w:rPr>
        <w:t xml:space="preserve"> сельского поселения </w:t>
      </w:r>
      <w:proofErr w:type="spellStart"/>
      <w:r w:rsidRPr="005629E2">
        <w:rPr>
          <w:rFonts w:eastAsia="Calibri"/>
          <w:lang w:eastAsia="en-US"/>
        </w:rPr>
        <w:t>Воробьевского</w:t>
      </w:r>
      <w:proofErr w:type="spellEnd"/>
      <w:r w:rsidRPr="005629E2">
        <w:rPr>
          <w:rFonts w:eastAsia="Calibri"/>
          <w:lang w:eastAsia="en-US"/>
        </w:rPr>
        <w:t xml:space="preserve"> муниципального района». </w:t>
      </w:r>
    </w:p>
    <w:p w:rsidR="005629E2" w:rsidRPr="005629E2" w:rsidRDefault="005629E2" w:rsidP="005629E2">
      <w:pPr>
        <w:jc w:val="both"/>
        <w:rPr>
          <w:rFonts w:ascii="Calibri" w:eastAsia="Calibri" w:hAnsi="Calibri"/>
          <w:bCs/>
          <w:kern w:val="28"/>
          <w:sz w:val="22"/>
          <w:szCs w:val="22"/>
          <w:lang w:eastAsia="en-US"/>
        </w:rPr>
      </w:pPr>
      <w:r w:rsidRPr="005629E2">
        <w:rPr>
          <w:rFonts w:eastAsia="Calibri"/>
          <w:bCs/>
          <w:kern w:val="28"/>
          <w:lang w:eastAsia="en-US"/>
        </w:rPr>
        <w:t xml:space="preserve">    3. </w:t>
      </w:r>
      <w:proofErr w:type="gramStart"/>
      <w:r w:rsidRPr="005629E2">
        <w:rPr>
          <w:rFonts w:eastAsia="Calibri"/>
          <w:bCs/>
          <w:kern w:val="28"/>
          <w:lang w:eastAsia="en-US"/>
        </w:rPr>
        <w:t>Контроль за</w:t>
      </w:r>
      <w:proofErr w:type="gramEnd"/>
      <w:r w:rsidRPr="005629E2">
        <w:rPr>
          <w:rFonts w:eastAsia="Calibri"/>
          <w:bCs/>
          <w:kern w:val="28"/>
          <w:lang w:eastAsia="en-US"/>
        </w:rPr>
        <w:t xml:space="preserve"> исполнением настоящего постановления оставляю за собой</w:t>
      </w:r>
      <w:r w:rsidRPr="005629E2">
        <w:rPr>
          <w:rFonts w:ascii="Calibri" w:eastAsia="Calibri" w:hAnsi="Calibri"/>
          <w:bCs/>
          <w:kern w:val="28"/>
          <w:sz w:val="22"/>
          <w:szCs w:val="22"/>
          <w:lang w:eastAsia="en-US"/>
        </w:rPr>
        <w:t>.</w:t>
      </w:r>
    </w:p>
    <w:p w:rsidR="005629E2" w:rsidRPr="005629E2" w:rsidRDefault="005629E2" w:rsidP="005629E2">
      <w:pPr>
        <w:spacing w:line="360" w:lineRule="auto"/>
        <w:jc w:val="both"/>
      </w:pPr>
      <w:r w:rsidRPr="005629E2">
        <w:t xml:space="preserve">    4. Настоящее постановление вступает в силу с 01 </w:t>
      </w:r>
      <w:r>
        <w:t>января 2024</w:t>
      </w:r>
      <w:r w:rsidRPr="005629E2">
        <w:t xml:space="preserve"> года.</w:t>
      </w:r>
    </w:p>
    <w:p w:rsidR="005629E2" w:rsidRPr="005629E2" w:rsidRDefault="005629E2" w:rsidP="005629E2">
      <w:pPr>
        <w:ind w:right="140"/>
        <w:jc w:val="both"/>
      </w:pPr>
    </w:p>
    <w:p w:rsidR="005629E2" w:rsidRDefault="005629E2" w:rsidP="005629E2">
      <w:pPr>
        <w:ind w:right="140"/>
        <w:jc w:val="both"/>
      </w:pPr>
    </w:p>
    <w:p w:rsidR="005629E2" w:rsidRPr="005629E2" w:rsidRDefault="005629E2" w:rsidP="005629E2">
      <w:pPr>
        <w:ind w:right="1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1999"/>
        <w:gridCol w:w="4360"/>
      </w:tblGrid>
      <w:tr w:rsidR="005629E2" w:rsidRPr="005629E2" w:rsidTr="003C42B4">
        <w:tc>
          <w:tcPr>
            <w:tcW w:w="3212" w:type="dxa"/>
            <w:shd w:val="clear" w:color="auto" w:fill="auto"/>
          </w:tcPr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629E2">
              <w:rPr>
                <w:rFonts w:cs="Arial"/>
              </w:rPr>
              <w:t xml:space="preserve">Глава </w:t>
            </w:r>
            <w:proofErr w:type="spellStart"/>
            <w:r w:rsidRPr="005629E2">
              <w:rPr>
                <w:rFonts w:cs="Arial"/>
              </w:rPr>
              <w:t>Солонецкого</w:t>
            </w:r>
            <w:proofErr w:type="spellEnd"/>
          </w:p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629E2">
              <w:rPr>
                <w:rFonts w:cs="Arial"/>
              </w:rPr>
              <w:t>сельского поселения</w:t>
            </w:r>
          </w:p>
        </w:tc>
        <w:tc>
          <w:tcPr>
            <w:tcW w:w="1999" w:type="dxa"/>
            <w:shd w:val="clear" w:color="auto" w:fill="auto"/>
          </w:tcPr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360" w:type="dxa"/>
            <w:shd w:val="clear" w:color="auto" w:fill="auto"/>
          </w:tcPr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629E2" w:rsidRPr="005629E2" w:rsidRDefault="005629E2" w:rsidP="005629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629E2">
              <w:rPr>
                <w:rFonts w:cs="Arial"/>
              </w:rPr>
              <w:t xml:space="preserve">Г.В. </w:t>
            </w:r>
            <w:proofErr w:type="spellStart"/>
            <w:r w:rsidRPr="005629E2">
              <w:rPr>
                <w:rFonts w:cs="Arial"/>
              </w:rPr>
              <w:t>Саломатина</w:t>
            </w:r>
            <w:proofErr w:type="spellEnd"/>
          </w:p>
        </w:tc>
      </w:tr>
    </w:tbl>
    <w:p w:rsidR="005629E2" w:rsidRDefault="005629E2" w:rsidP="00197C3D">
      <w:pPr>
        <w:tabs>
          <w:tab w:val="left" w:pos="6336"/>
        </w:tabs>
        <w:autoSpaceDE w:val="0"/>
        <w:autoSpaceDN w:val="0"/>
        <w:adjustRightInd w:val="0"/>
        <w:outlineLvl w:val="0"/>
      </w:pPr>
    </w:p>
    <w:p w:rsidR="00197C3D" w:rsidRDefault="00197C3D" w:rsidP="00197C3D">
      <w:pPr>
        <w:tabs>
          <w:tab w:val="left" w:pos="6336"/>
        </w:tabs>
        <w:autoSpaceDE w:val="0"/>
        <w:autoSpaceDN w:val="0"/>
        <w:adjustRightInd w:val="0"/>
        <w:outlineLvl w:val="0"/>
      </w:pPr>
    </w:p>
    <w:p w:rsidR="005629E2" w:rsidRDefault="005629E2">
      <w:pPr>
        <w:tabs>
          <w:tab w:val="left" w:pos="6336"/>
        </w:tabs>
        <w:autoSpaceDE w:val="0"/>
        <w:autoSpaceDN w:val="0"/>
        <w:adjustRightInd w:val="0"/>
        <w:ind w:left="-142" w:hanging="284"/>
        <w:jc w:val="right"/>
        <w:outlineLvl w:val="0"/>
      </w:pPr>
    </w:p>
    <w:p w:rsidR="0062334E" w:rsidRPr="0062334E" w:rsidRDefault="0062334E" w:rsidP="0062334E">
      <w:pPr>
        <w:ind w:right="140"/>
        <w:jc w:val="right"/>
        <w:rPr>
          <w:b/>
          <w:sz w:val="24"/>
          <w:szCs w:val="24"/>
        </w:rPr>
      </w:pPr>
      <w:r>
        <w:lastRenderedPageBreak/>
        <w:t xml:space="preserve">   </w:t>
      </w:r>
      <w:r w:rsidRPr="0062334E">
        <w:rPr>
          <w:b/>
          <w:sz w:val="24"/>
          <w:szCs w:val="24"/>
        </w:rPr>
        <w:t>Приложение</w:t>
      </w:r>
    </w:p>
    <w:p w:rsidR="0062334E" w:rsidRPr="0062334E" w:rsidRDefault="0062334E" w:rsidP="0062334E">
      <w:pPr>
        <w:ind w:right="140"/>
        <w:jc w:val="right"/>
        <w:rPr>
          <w:b/>
          <w:sz w:val="24"/>
          <w:szCs w:val="24"/>
        </w:rPr>
      </w:pPr>
      <w:r w:rsidRPr="0062334E">
        <w:rPr>
          <w:b/>
          <w:sz w:val="24"/>
          <w:szCs w:val="24"/>
        </w:rPr>
        <w:t xml:space="preserve"> к постановлению администрации</w:t>
      </w:r>
    </w:p>
    <w:p w:rsidR="0062334E" w:rsidRPr="0062334E" w:rsidRDefault="0062334E" w:rsidP="0062334E">
      <w:pPr>
        <w:ind w:right="140"/>
        <w:jc w:val="right"/>
        <w:rPr>
          <w:b/>
          <w:sz w:val="24"/>
          <w:szCs w:val="24"/>
        </w:rPr>
      </w:pPr>
      <w:r w:rsidRPr="0062334E">
        <w:rPr>
          <w:b/>
          <w:sz w:val="24"/>
          <w:szCs w:val="24"/>
        </w:rPr>
        <w:t xml:space="preserve"> </w:t>
      </w:r>
      <w:proofErr w:type="spellStart"/>
      <w:r w:rsidRPr="0062334E">
        <w:rPr>
          <w:b/>
          <w:sz w:val="24"/>
          <w:szCs w:val="24"/>
        </w:rPr>
        <w:t>Солонецкого</w:t>
      </w:r>
      <w:proofErr w:type="spellEnd"/>
      <w:r w:rsidRPr="0062334E">
        <w:rPr>
          <w:b/>
          <w:sz w:val="24"/>
          <w:szCs w:val="24"/>
        </w:rPr>
        <w:t xml:space="preserve"> сельского поселения </w:t>
      </w:r>
    </w:p>
    <w:p w:rsidR="0062334E" w:rsidRPr="0062334E" w:rsidRDefault="0062334E" w:rsidP="0062334E">
      <w:pPr>
        <w:ind w:right="1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2F5A42">
        <w:rPr>
          <w:b/>
          <w:sz w:val="24"/>
          <w:szCs w:val="24"/>
        </w:rPr>
        <w:t>27.12.2023 г. № 179</w:t>
      </w:r>
    </w:p>
    <w:p w:rsidR="0062334E" w:rsidRPr="0062334E" w:rsidRDefault="0062334E" w:rsidP="0062334E">
      <w:pPr>
        <w:ind w:right="140"/>
        <w:jc w:val="right"/>
      </w:pPr>
    </w:p>
    <w:p w:rsidR="0062334E" w:rsidRPr="0062334E" w:rsidRDefault="0062334E" w:rsidP="0062334E">
      <w:pPr>
        <w:jc w:val="center"/>
        <w:rPr>
          <w:b/>
          <w:kern w:val="28"/>
        </w:rPr>
      </w:pPr>
      <w:r w:rsidRPr="0062334E">
        <w:rPr>
          <w:b/>
          <w:kern w:val="28"/>
        </w:rPr>
        <w:t>Положение</w:t>
      </w:r>
    </w:p>
    <w:p w:rsidR="0062334E" w:rsidRPr="0062334E" w:rsidRDefault="0062334E" w:rsidP="0062334E">
      <w:pPr>
        <w:jc w:val="center"/>
        <w:rPr>
          <w:b/>
          <w:kern w:val="28"/>
        </w:rPr>
      </w:pPr>
      <w:r w:rsidRPr="0062334E">
        <w:rPr>
          <w:b/>
          <w:kern w:val="28"/>
        </w:rPr>
        <w:t>об оплате труд</w:t>
      </w:r>
      <w:r>
        <w:rPr>
          <w:b/>
          <w:kern w:val="28"/>
        </w:rPr>
        <w:t>а работников муниципального казё</w:t>
      </w:r>
      <w:r w:rsidRPr="0062334E">
        <w:rPr>
          <w:b/>
          <w:kern w:val="28"/>
        </w:rPr>
        <w:t>нного</w:t>
      </w:r>
    </w:p>
    <w:p w:rsidR="0062334E" w:rsidRPr="0062334E" w:rsidRDefault="0062334E" w:rsidP="0062334E">
      <w:pPr>
        <w:jc w:val="center"/>
        <w:rPr>
          <w:b/>
        </w:rPr>
      </w:pPr>
      <w:r w:rsidRPr="0062334E">
        <w:rPr>
          <w:b/>
          <w:kern w:val="28"/>
        </w:rPr>
        <w:t xml:space="preserve">учреждения культуры </w:t>
      </w:r>
      <w:r w:rsidRPr="0062334E">
        <w:rPr>
          <w:b/>
          <w:bCs/>
          <w:kern w:val="28"/>
        </w:rPr>
        <w:t>«</w:t>
      </w:r>
      <w:proofErr w:type="spellStart"/>
      <w:r w:rsidRPr="0062334E">
        <w:rPr>
          <w:b/>
        </w:rPr>
        <w:t>Солонецкий</w:t>
      </w:r>
      <w:proofErr w:type="spellEnd"/>
      <w:r w:rsidRPr="0062334E">
        <w:rPr>
          <w:b/>
        </w:rPr>
        <w:t xml:space="preserve"> центр культуры»</w:t>
      </w:r>
    </w:p>
    <w:p w:rsidR="0062334E" w:rsidRPr="0062334E" w:rsidRDefault="0062334E" w:rsidP="0062334E">
      <w:pPr>
        <w:jc w:val="center"/>
        <w:rPr>
          <w:b/>
        </w:rPr>
      </w:pPr>
      <w:r w:rsidRPr="0062334E">
        <w:t xml:space="preserve"> </w:t>
      </w:r>
      <w:proofErr w:type="spellStart"/>
      <w:r w:rsidRPr="0062334E">
        <w:rPr>
          <w:b/>
        </w:rPr>
        <w:t>Солонецкого</w:t>
      </w:r>
      <w:proofErr w:type="spellEnd"/>
      <w:r w:rsidRPr="0062334E">
        <w:rPr>
          <w:b/>
        </w:rPr>
        <w:t xml:space="preserve"> сельского поселения </w:t>
      </w:r>
    </w:p>
    <w:p w:rsidR="0062334E" w:rsidRPr="0062334E" w:rsidRDefault="0062334E" w:rsidP="0062334E">
      <w:pPr>
        <w:jc w:val="center"/>
        <w:rPr>
          <w:b/>
        </w:rPr>
      </w:pPr>
      <w:proofErr w:type="spellStart"/>
      <w:r>
        <w:rPr>
          <w:b/>
        </w:rPr>
        <w:t>Воробьё</w:t>
      </w:r>
      <w:r w:rsidRPr="0062334E">
        <w:rPr>
          <w:b/>
        </w:rPr>
        <w:t>вского</w:t>
      </w:r>
      <w:proofErr w:type="spellEnd"/>
      <w:r w:rsidRPr="0062334E">
        <w:rPr>
          <w:b/>
        </w:rPr>
        <w:t xml:space="preserve"> муниципального района </w:t>
      </w:r>
    </w:p>
    <w:p w:rsidR="0062334E" w:rsidRPr="0062334E" w:rsidRDefault="0062334E" w:rsidP="0062334E">
      <w:pPr>
        <w:jc w:val="center"/>
        <w:rPr>
          <w:b/>
        </w:rPr>
      </w:pPr>
      <w:r w:rsidRPr="0062334E">
        <w:rPr>
          <w:b/>
          <w:kern w:val="28"/>
        </w:rPr>
        <w:t>Воронежской области</w:t>
      </w:r>
    </w:p>
    <w:p w:rsidR="00EC5D7E" w:rsidRDefault="00EC5D7E" w:rsidP="0062334E">
      <w:pPr>
        <w:tabs>
          <w:tab w:val="left" w:pos="6336"/>
        </w:tabs>
        <w:autoSpaceDE w:val="0"/>
        <w:autoSpaceDN w:val="0"/>
        <w:adjustRightInd w:val="0"/>
        <w:ind w:left="-142" w:hanging="284"/>
        <w:jc w:val="right"/>
        <w:outlineLvl w:val="0"/>
      </w:pPr>
    </w:p>
    <w:p w:rsidR="00197C3D" w:rsidRDefault="00197C3D">
      <w:pPr>
        <w:ind w:firstLine="708"/>
        <w:jc w:val="center"/>
      </w:pPr>
    </w:p>
    <w:p w:rsidR="00EC5D7E" w:rsidRDefault="0062334E">
      <w:pPr>
        <w:ind w:firstLine="708"/>
        <w:jc w:val="center"/>
      </w:pPr>
      <w:r>
        <w:t>1. Общие положения</w:t>
      </w:r>
    </w:p>
    <w:p w:rsidR="00EC5D7E" w:rsidRDefault="00EC5D7E">
      <w:pPr>
        <w:ind w:firstLine="708"/>
        <w:jc w:val="center"/>
      </w:pPr>
    </w:p>
    <w:p w:rsidR="00197C3D" w:rsidRDefault="00197C3D">
      <w:pPr>
        <w:ind w:firstLine="708"/>
        <w:jc w:val="center"/>
      </w:pPr>
    </w:p>
    <w:p w:rsidR="00EC5D7E" w:rsidRDefault="0062334E">
      <w:pPr>
        <w:spacing w:line="360" w:lineRule="auto"/>
        <w:ind w:firstLine="708"/>
        <w:jc w:val="both"/>
      </w:pPr>
      <w:r>
        <w:t xml:space="preserve">1.1. Настоящее положение об оплате труда работников </w:t>
      </w:r>
      <w:r>
        <w:rPr>
          <w:bCs/>
        </w:rPr>
        <w:t>МКУК «</w:t>
      </w:r>
      <w:proofErr w:type="spellStart"/>
      <w:r>
        <w:rPr>
          <w:bCs/>
        </w:rPr>
        <w:t>Солонецкий</w:t>
      </w:r>
      <w:proofErr w:type="spellEnd"/>
      <w:r>
        <w:rPr>
          <w:bCs/>
        </w:rPr>
        <w:t xml:space="preserve"> центр культуры»</w:t>
      </w:r>
      <w:r>
        <w:t xml:space="preserve"> (далее положение) разработано в целях упорядочения системы оплаты труда и устанавливает порядок и условия оплаты труда работников </w:t>
      </w:r>
      <w:r>
        <w:rPr>
          <w:bCs/>
        </w:rPr>
        <w:t xml:space="preserve">муниципального учреждения культуры, подведомственного администрации </w:t>
      </w:r>
      <w:proofErr w:type="spellStart"/>
      <w:r>
        <w:rPr>
          <w:bCs/>
        </w:rPr>
        <w:t>Солонецкого</w:t>
      </w:r>
      <w:proofErr w:type="spellEnd"/>
      <w:r>
        <w:rPr>
          <w:bCs/>
        </w:rPr>
        <w:t xml:space="preserve"> сельского поселения (далее – Учреждения, Учредитель), за счёт средств поселения бюджета и иных источников финансирования.</w:t>
      </w:r>
    </w:p>
    <w:p w:rsidR="00EC5D7E" w:rsidRDefault="0062334E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Фонд оплаты труда работников учреждения формируется на календарный год, исходя из объёма лимитов бюджетных обязательств бюджета.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1.3. Система оплаты труда работников учреждения устанавливается с учётом Единого тарифно-квалификационного справочника работ и профессий рабочих (далее ЕТКС) и Единого квалификационного справочника должностей руководителей, специалистов и служащих.</w:t>
      </w:r>
    </w:p>
    <w:p w:rsidR="00EC5D7E" w:rsidRDefault="0062334E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1.4.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197C3D" w:rsidRDefault="00197C3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97C3D" w:rsidRDefault="00197C3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197C3D" w:rsidRDefault="00197C3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C5D7E" w:rsidRDefault="0062334E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>
        <w:lastRenderedPageBreak/>
        <w:t>1.5.Заработная плата работников учреждения (без учёта премий и иных выплат стимулирующего характера) при изменении системы оплаты труда не может быть меньше заработной платы (без учёта премий и иных выплат стимулирующего характера),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</w:t>
      </w:r>
      <w:proofErr w:type="gramEnd"/>
    </w:p>
    <w:p w:rsidR="00EC5D7E" w:rsidRDefault="0062334E">
      <w:pPr>
        <w:tabs>
          <w:tab w:val="left" w:pos="9106"/>
          <w:tab w:val="left" w:pos="9144"/>
        </w:tabs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1.6. Условия оплаты труда, включая размер оклада (должностного оклада) работника, повышающие коэффициенты к окладам, выплаты стимулирующего характера, выплаты компенсационного характера, являются обязательными для включения в трудовой договор.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1.7. Размеры окладов (должностных окладов, ставок заработной платы) 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учётом сложности и объёма выполняемой работы.</w:t>
      </w:r>
    </w:p>
    <w:p w:rsidR="00EC5D7E" w:rsidRDefault="0062334E">
      <w:pPr>
        <w:tabs>
          <w:tab w:val="left" w:pos="9106"/>
          <w:tab w:val="left" w:pos="9144"/>
        </w:tabs>
        <w:autoSpaceDE w:val="0"/>
        <w:autoSpaceDN w:val="0"/>
        <w:adjustRightInd w:val="0"/>
        <w:spacing w:line="360" w:lineRule="auto"/>
        <w:ind w:firstLine="708"/>
        <w:jc w:val="both"/>
      </w:pPr>
      <w:r>
        <w:t>1.8. Оплата труда работников, занятых по совместительству, совмещению, а также на условиях неполного рабочего времени производится пропорционально отработанному времени или в зависимости от выполненного объёма работ.</w:t>
      </w:r>
    </w:p>
    <w:p w:rsidR="00EC5D7E" w:rsidRDefault="0062334E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1.9. Штатное расписание учреждения, согласованное с учредителем, утверждается руководителем учреждения и включает в себя все должности служащих (профессии рабочих) данного учреждения.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Для выполнения работ, связанных с временным расширением объёма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Средства на оплату труда, формируемые за счёт бюджетных ассигнований сельского поселения, могут направляться учреждением на выплаты стимулирующего характера,  формируемых за счёт ассигнований районного бюджета.</w:t>
      </w:r>
    </w:p>
    <w:p w:rsidR="00EC5D7E" w:rsidRDefault="0062334E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1.10. </w:t>
      </w:r>
      <w:proofErr w:type="gramStart"/>
      <w:r>
        <w:t>Лица, 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объёме,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подготовку.</w:t>
      </w:r>
      <w:proofErr w:type="gramEnd"/>
    </w:p>
    <w:p w:rsidR="00EC5D7E" w:rsidRDefault="0062334E">
      <w:pPr>
        <w:pStyle w:val="1"/>
        <w:spacing w:line="360" w:lineRule="auto"/>
        <w:ind w:right="0" w:firstLine="708"/>
        <w:rPr>
          <w:color w:val="auto"/>
        </w:rPr>
      </w:pPr>
      <w:r>
        <w:rPr>
          <w:color w:val="auto"/>
        </w:rPr>
        <w:t>1.11. Руководитель  учреждения несёт ответственность за своевременное и правильное установление размеров заработной платы работников согласно законодательству.</w:t>
      </w:r>
    </w:p>
    <w:p w:rsidR="00EC5D7E" w:rsidRDefault="00EC5D7E">
      <w:pPr>
        <w:pStyle w:val="1"/>
        <w:spacing w:line="360" w:lineRule="auto"/>
        <w:ind w:right="0"/>
        <w:rPr>
          <w:color w:val="auto"/>
        </w:rPr>
      </w:pPr>
    </w:p>
    <w:p w:rsidR="00EC5D7E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2. Порядок и условия оплаты труда работников учреждения</w:t>
      </w:r>
    </w:p>
    <w:p w:rsidR="00EC5D7E" w:rsidRDefault="00EC5D7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2.1. Оплата труда работников учреждения (включая руководителя учреждения, их заместителей и главных бухгалтеров) включает в себя: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- оклад (должностной оклад, ставку заработной платы);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- выплаты компенсационного характера;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- выплаты стимулирующего характера.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t xml:space="preserve">2.2. Оклады (должностные оклады, ставки заработной платы) работников устанавливаются на основе отнесения занимаемых ими должностей к профессиональным квалификационным группам должностей (далее - ПКГ), утвержденных приказами </w:t>
      </w:r>
      <w:proofErr w:type="spellStart"/>
      <w:r>
        <w:rPr>
          <w:bCs/>
        </w:rPr>
        <w:t>Минздравсоцразвития</w:t>
      </w:r>
      <w:proofErr w:type="spellEnd"/>
      <w:r>
        <w:rPr>
          <w:bCs/>
        </w:rPr>
        <w:t xml:space="preserve"> России.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При установлении должностных окладов  работникам квалификационная категория учитывается по специальности, по которой им присвоена квалификационная категория.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Размеры окладов (должностных окладов) по ПКГ специалистов и служащих, профессий рабочих устанавливаются в соответствии с приложением N 1 к настоящему Положению.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lastRenderedPageBreak/>
        <w:t>2.3. С учётом условий труда работникам учреждения устанавливаются выплаты компенсационного характера, предусмотренные разделом 3 настоящего положения.</w:t>
      </w:r>
    </w:p>
    <w:p w:rsidR="005629E2" w:rsidRPr="002F5A42" w:rsidRDefault="0062334E" w:rsidP="002F5A42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2.4.Выплаты стимулирующего характера работникам учреждения устанавливаются в соответствии с разделом 4 настоящего положения.</w:t>
      </w:r>
    </w:p>
    <w:p w:rsidR="005629E2" w:rsidRDefault="005629E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C5D7E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3. Порядок и условия установления выплат </w:t>
      </w:r>
    </w:p>
    <w:p w:rsidR="00EC5D7E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компенсационного характера</w:t>
      </w:r>
    </w:p>
    <w:p w:rsidR="00EC5D7E" w:rsidRDefault="00EC5D7E">
      <w:pPr>
        <w:pStyle w:val="a3"/>
        <w:spacing w:before="0"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C5D7E" w:rsidRDefault="0062334E">
      <w:pPr>
        <w:pStyle w:val="a3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Работникам учреждения могут осуществляться следующие выплаты компенсационного характера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EC5D7E" w:rsidRDefault="0062334E">
      <w:pPr>
        <w:spacing w:line="360" w:lineRule="auto"/>
        <w:ind w:firstLine="709"/>
        <w:jc w:val="both"/>
        <w:rPr>
          <w:bCs/>
          <w:spacing w:val="-6"/>
        </w:rPr>
      </w:pPr>
      <w:r>
        <w:t xml:space="preserve">3.2. </w:t>
      </w:r>
      <w:r>
        <w:rPr>
          <w:spacing w:val="-6"/>
        </w:rPr>
        <w:t xml:space="preserve">Доплата за </w:t>
      </w:r>
      <w:r>
        <w:rPr>
          <w:bCs/>
          <w:spacing w:val="-6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учётом содержания и (или) объёма дополнительной работы.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3.3. Доплата</w:t>
      </w:r>
      <w:r>
        <w:rPr>
          <w:bCs/>
        </w:rPr>
        <w:t xml:space="preserve"> за расширение зон обслуживания устанавливается работнику при расширении зон обслуживания.</w:t>
      </w:r>
      <w:r>
        <w:t xml:space="preserve"> Размер доплаты устанавливается по соглашению сторон трудового договора с учётом содержания и (или) объёма дополнительной работы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3.4. </w:t>
      </w:r>
      <w:r>
        <w:t>Доплата</w:t>
      </w:r>
      <w:r>
        <w:rPr>
          <w:bCs/>
        </w:rPr>
        <w:t xml:space="preserve">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договором, устанавливается работнику в случае увеличения установленного ему объёма работы или возложения на него обязанностей временно отсутствующего работника без освобождения от работы, определённой трудовым договором. Размер доплаты и срок, на </w:t>
      </w:r>
      <w:r>
        <w:rPr>
          <w:bCs/>
        </w:rPr>
        <w:lastRenderedPageBreak/>
        <w:t xml:space="preserve">который она устанавливается, определяется по соглашению сторон трудового договора с учётом содержания и (или) объёма дополнительной работы.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</w:rPr>
      </w:pPr>
      <w:r>
        <w:t xml:space="preserve">3.5. </w:t>
      </w:r>
      <w:r>
        <w:rPr>
          <w:spacing w:val="-8"/>
        </w:rPr>
        <w:t>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Размер доплаты устанавливается в соответствии со статьёй 154 Трудового кодекса Российской Федерации и Постановлением Правительства Российской Федерации от 22.07.2008 N 554 «О минимальном размере повышения оплаты труда за работу в ночное время».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Размер доплаты составляет 20 процентов оклада (должностного оклада), рассчитанного за час работы, за каждый час работы в ночное время.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Расчёт доплаты за час работы в ночное время определяется путём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8"/>
        </w:rPr>
        <w:t xml:space="preserve">3.6. </w:t>
      </w:r>
      <w:r>
        <w:t xml:space="preserve">Работа в выходной или нерабочий праздничный день оплачивается работникам, </w:t>
      </w:r>
      <w:proofErr w:type="spellStart"/>
      <w:r w:rsidR="002F5A42">
        <w:t>привлекавшиеся</w:t>
      </w:r>
      <w:proofErr w:type="spellEnd"/>
      <w:r>
        <w:t xml:space="preserve"> к работе в выходные и нерабочие праздничные дни, не менее чем в двойном размере.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proofErr w:type="gramStart"/>
      <w:r>
        <w:rPr>
          <w:spacing w:val="-8"/>
        </w:rPr>
        <w:t>Размер доплаты составляет</w:t>
      </w:r>
      <w:r>
        <w:t xml:space="preserve">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</w:t>
      </w:r>
      <w:proofErr w:type="gramEnd"/>
      <w:r>
        <w:t xml:space="preserve"> оклада), если работа производилась сверх месячной нормы рабочего времени.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3.7.  Доплата за сверхурочную работу производится в соответствии со статьёй 152 Трудового кодекса Российской Федерации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3.8. Выплаты компенсационного характера (надбавки, доплаты) устанавливаются в процентах к окладу (должностному окладу, ставке заработной платы) работника или в абсолютных размерах при наличии оснований для их выплаты.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3.9. Конкретные размеры и условия выплат компенсационного характера устанавливаются: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руководителю учреждения - на основании распоряжения  администрации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остальным работникам - локальными нормативными актами, принимаемыми учреждением с учётом мнения представительного органа работников и обеспеченности учреждения финансовыми средствами.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3.10. Начисление всех компенсационных выплат не образует нового оклада и не учитывается при начислении стимулирующих выплат.</w:t>
      </w:r>
    </w:p>
    <w:p w:rsidR="00EC5D7E" w:rsidRDefault="00EC5D7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C5D7E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4. Выплаты стимулирующего характера, </w:t>
      </w:r>
    </w:p>
    <w:p w:rsidR="00EC5D7E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порядок и условия их установления </w:t>
      </w:r>
    </w:p>
    <w:p w:rsidR="00EC5D7E" w:rsidRDefault="00EC5D7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C5D7E" w:rsidRDefault="0062334E">
      <w:pPr>
        <w:pStyle w:val="a3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учреждении, с учётом обеспечения финансовыми средствами, работникам могут устанавливаться следующие виды выплат стимулирующего характера: 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  <w:spacing w:val="-8"/>
        </w:rPr>
        <w:t xml:space="preserve">-  надбавка </w:t>
      </w:r>
      <w:r>
        <w:rPr>
          <w:bCs/>
        </w:rPr>
        <w:t>за выслугу лет;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</w:rPr>
        <w:t>- повышающий коэффициент к окладу за профессиональное мастерство;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- премиальные выплаты по итогам работы.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4.2. </w:t>
      </w:r>
      <w:r>
        <w:rPr>
          <w:bCs/>
        </w:rPr>
        <w:t xml:space="preserve">Стимулирующая надбавка за выслугу лет – устанавливается работникам,  </w:t>
      </w:r>
      <w:r>
        <w:t xml:space="preserve">в зависимости от стажа работы в учреждениях культуры.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Размеры надбавок за выслугу лет устанавливаются в процентах от должностного оклада: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1) при выслуге лет от 3 до 8 лет – 10 процентов;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2) при выслуге лет от 8 до 13 лет – 15 процентов;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3) при выслуге лет от 13 до 18 лет – 20 процентов;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4) при выслуге лет от 18 до 23  лет – 25 процентов;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3) при выслуге лет свыше 23  лет – 30 процентов.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t xml:space="preserve">4.3. </w:t>
      </w:r>
      <w:r>
        <w:rPr>
          <w:bCs/>
        </w:rPr>
        <w:t>Персональный повышающий коэффициент к окладу может быть установлен работнику с учётом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руководителем учреждения  и других факторов. Решение об установлении персонального повышающего коэффициента к окладу и его размерах принимается руководителем  учреждения персонально в отношении конкретного работника. Предельный размер повышающего коэффициента - 200%.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Повышающий коэффициент устанавливается на определённый период времени (квартал, год) в течение соответствующего календарного года.</w:t>
      </w:r>
    </w:p>
    <w:p w:rsidR="00EC5D7E" w:rsidRDefault="0062334E">
      <w:pPr>
        <w:spacing w:line="360" w:lineRule="auto"/>
        <w:ind w:firstLine="720"/>
        <w:jc w:val="both"/>
      </w:pPr>
      <w:r>
        <w:t>4.4. Применение всех стимулирующих выплат, устанавливаемых в процентном отношении к окладу, не образует новый оклад и не учитывается при начислении компенсационных выплат.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4.5. В целях поощрения работников за выполненную работу в учреждениях могут быть установлены следующие премиальные выплаты: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по итогам работы за месяц;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>- единовременные премии.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Премирование осуществляется по решению руководителя учреждения в пределах бюджетных ассигнований на оплату труда работников учреждения.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4.5.1. Премия по итогам работы за месяц выплачивается в целях поощрения работников за общие результаты труда, по итогам работы.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 премировании учитываются следующие критерии: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успешное и добросовестное выполнение работником своих должностных обязанностей в соответствующем периоде;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инициатива, творчество и применение в работе современных форм и методов организации труда;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качественная подготовка и проведение мероприятий, связанных с уставной деятельностью учреждения;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выполнение порученной работы, связанной с обеспечением рабочего процесса или уставной деятельности учреждения. 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Работнику, имеющему дисциплинарное взыскание, премия не устанавливается и не выплачивается.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4.5.2. Работникам учреждения выплачиваются единовременные премии </w:t>
      </w:r>
      <w:r>
        <w:rPr>
          <w:bCs/>
        </w:rPr>
        <w:t>в пределах экономии бюджетных ассигнований, предусмотренных на оплату труда работников учреждения</w:t>
      </w:r>
      <w:r>
        <w:t xml:space="preserve"> по итогам выполнения особо важных и сложных заданий.</w:t>
      </w:r>
    </w:p>
    <w:p w:rsidR="0062334E" w:rsidRDefault="0062334E" w:rsidP="002F5A42">
      <w:pPr>
        <w:autoSpaceDE w:val="0"/>
        <w:autoSpaceDN w:val="0"/>
        <w:adjustRightInd w:val="0"/>
        <w:spacing w:line="360" w:lineRule="auto"/>
        <w:rPr>
          <w:b/>
        </w:rPr>
      </w:pPr>
    </w:p>
    <w:p w:rsidR="00EC5D7E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5. Условия оплаты труда руководителя  учреждения</w:t>
      </w:r>
    </w:p>
    <w:p w:rsidR="00EC5D7E" w:rsidRDefault="00EC5D7E">
      <w:pPr>
        <w:autoSpaceDE w:val="0"/>
        <w:autoSpaceDN w:val="0"/>
        <w:adjustRightInd w:val="0"/>
        <w:spacing w:line="360" w:lineRule="auto"/>
        <w:jc w:val="center"/>
      </w:pP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5.1. Заработная плата руководителя учреждения, заместителей руководителя  состоит из должностного оклада, выплат компенсационного и стимулирующего характера.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государственного (муниципального) учреждения, утверждённой Постановлением Правительства Российской Федерации от 12.04.2013 N 329 «О типовой форме трудового договора с руководителем государственного (муниципального) учреждения».</w:t>
      </w:r>
    </w:p>
    <w:p w:rsidR="00EC5D7E" w:rsidRDefault="0062334E">
      <w:pPr>
        <w:spacing w:line="360" w:lineRule="auto"/>
        <w:ind w:firstLine="709"/>
        <w:jc w:val="both"/>
        <w:rPr>
          <w:szCs w:val="24"/>
        </w:rPr>
      </w:pPr>
      <w:r>
        <w:t xml:space="preserve">5.3. Должностной оклад руководителя учреждения, определяется трудовым  договором в зависимости от сложности труда, в том числе с </w:t>
      </w:r>
      <w:r>
        <w:lastRenderedPageBreak/>
        <w:t>учётом масштаба управления и особенностей деятельности и значимости учреждения.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5.4. Руководителю учреждения правовым актом Учредителя устанавливаются выплаты компенсационного характера в соответствии с разделом 3 настоящего Положения.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5.5. Выплаты стимулирующего характера руководителю учреждения устанавливаются Учредителем в соответствии с разделом 4 настоящего Положения.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5.6.1. Премирование руководителя учреждения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Размер премии устанавливается правовым актом Учредителя на основании ходатайства (по согласованию).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5.7. Руководителю учреждения выплаты компенсационного и стимулирующего характера устанавливаются в соответствии с разделами 3 и 4 настоящего Положения.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5.8. Руководителю, заместителю руководителя и главному бухгалтеру учреждения могут осуществляться иные выплаты, установленные пунктами 6.1 и 6.2 раздела 6 настоящего Положения.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5.9.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(без учёта заработной платы соответствующего руководителя, заместителей руководителя, главного бухгалтера) устанавливается учредителем в кратности от 1 до 8.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Соотношение среднемесячной заработной платы руководителя,  среднемесячной заработной платы работников этого учреждения, формируемой за счёт всех источников финансового обеспечения, рассчитывается за календарный год.</w:t>
      </w:r>
    </w:p>
    <w:p w:rsidR="00EC5D7E" w:rsidRDefault="0062334E" w:rsidP="002F5A4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Соотношение среднемесячной заработной платы руководителя,   среднемесячной заработной платы работников этого учреждения </w:t>
      </w:r>
      <w:r>
        <w:lastRenderedPageBreak/>
        <w:t>определяется путём деления среднемесячной заработной платы соответствующего руководителя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утверждённым Постановлением Правительства Российской Федерации от 24 декабря 2007 года N 922 «Об особенностях порядка исчисления средней заработной платы».</w:t>
      </w:r>
    </w:p>
    <w:p w:rsidR="00EC5D7E" w:rsidRPr="002F5A42" w:rsidRDefault="0062334E" w:rsidP="002F5A4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6. Другие вопросы оплаты труда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6.1.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размере не более двух окладов (должностных окладов) в следующих случаях: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при регистрации брака на основании копии свидетельства о регистрации брака;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при рождении ребёнка на основании копии свидетельства о рождении;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в случае смерти близких родственников (родители, супру</w:t>
      </w:r>
      <w:proofErr w:type="gramStart"/>
      <w:r>
        <w:t>г(</w:t>
      </w:r>
      <w:proofErr w:type="gramEnd"/>
      <w:r>
        <w:t>а), дети) на основании копии свидетельства о смерти и документов, подтверждающих родство;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в случае нуждаемости в лечении;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в связи с расходами, произведёнными на лечение, в связи с продолжительной болезнью;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в связи с тяжёлым материальным положением в семье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при ежегодном оплачиваемом отпуске.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Решение о конкретном размере единовременной материальной помощи принимает: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работникам - руководитель учреждения;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- руководителю учреждения - учредитель.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6.2. При наличии экономии фонда оплаты труда руководителю и работникам учреждения выплачиваться единовременная выплата при предоставлении ежегодного оплачиваемого отпуска в размере двух окладов (должностных окладов)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6.3. При наличии экономии фонда оплаты труда руководителю и работникам учреждения может выплачиваться премия в размере до одного оклада (должностного оклада):</w:t>
      </w:r>
    </w:p>
    <w:p w:rsidR="00EC5D7E" w:rsidRDefault="0062334E" w:rsidP="005629E2">
      <w:pPr>
        <w:autoSpaceDE w:val="0"/>
        <w:autoSpaceDN w:val="0"/>
        <w:adjustRightInd w:val="0"/>
        <w:spacing w:line="360" w:lineRule="auto"/>
        <w:ind w:firstLineChars="242" w:firstLine="678"/>
        <w:jc w:val="both"/>
      </w:pPr>
      <w:r>
        <w:t>-   в связи с профессиональными праздниками;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  в связи с юбилейными датами (50, 55, 60, 65, 70 лет со дня рождения);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при награждении государственными, ведомственными наградами, наградами </w:t>
      </w:r>
      <w:proofErr w:type="spellStart"/>
      <w:r>
        <w:t>Воробьёвского</w:t>
      </w:r>
      <w:proofErr w:type="spellEnd"/>
      <w:r>
        <w:t xml:space="preserve"> муниципального района, награждении государственными и ведомственными знаками отличия, при присвоении почётных званий Российской Федерации, Воронежской области, </w:t>
      </w:r>
      <w:proofErr w:type="spellStart"/>
      <w:r>
        <w:t>Воробьёвского</w:t>
      </w:r>
      <w:proofErr w:type="spellEnd"/>
      <w:r>
        <w:t xml:space="preserve"> муниципального района, поощрении почётной грамотой или благодарностью Министерства культуры Российской Федерации, губернатора Воронежской области, правительства Воронежской области, департамента культуры и туризма Воронежской области.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при увольнении в связи с выходом на пенсию.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Решение о конкретном размере премии принимает: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работникам - руководитель учреждения;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руководителю учреждения - учредитель.</w:t>
      </w:r>
    </w:p>
    <w:p w:rsidR="00EC5D7E" w:rsidRDefault="0062334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6.4. В случае задержки выплаты работникам заработной платы и других нарушений оплаты труда руководитель учреждения несёт ответственность в соответствии с законодательством Российской Федерации</w:t>
      </w:r>
    </w:p>
    <w:p w:rsidR="00EC5D7E" w:rsidRDefault="0062334E">
      <w:pPr>
        <w:spacing w:line="360" w:lineRule="auto"/>
        <w:ind w:firstLine="709"/>
        <w:jc w:val="both"/>
        <w:rPr>
          <w:szCs w:val="24"/>
        </w:rPr>
      </w:pPr>
      <w:r>
        <w:t xml:space="preserve">6.5. 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 (приложение № 2). </w:t>
      </w:r>
    </w:p>
    <w:p w:rsidR="00EC5D7E" w:rsidRDefault="0062334E">
      <w:pPr>
        <w:spacing w:line="360" w:lineRule="auto"/>
      </w:pPr>
      <w:r>
        <w:br w:type="page"/>
      </w:r>
    </w:p>
    <w:p w:rsidR="00EC5D7E" w:rsidRDefault="0062334E">
      <w:pPr>
        <w:ind w:left="5040"/>
        <w:jc w:val="both"/>
      </w:pPr>
      <w:r>
        <w:lastRenderedPageBreak/>
        <w:t>Приложение № 1</w:t>
      </w:r>
    </w:p>
    <w:p w:rsidR="00EC5D7E" w:rsidRDefault="0062334E">
      <w:pPr>
        <w:ind w:left="5040"/>
        <w:jc w:val="both"/>
      </w:pPr>
      <w:r>
        <w:t>к положению по оплате труда работников МКУК «</w:t>
      </w:r>
      <w:proofErr w:type="spellStart"/>
      <w:r>
        <w:t>Солонецкий</w:t>
      </w:r>
      <w:proofErr w:type="spellEnd"/>
      <w:r>
        <w:t xml:space="preserve"> центр культуры» </w:t>
      </w:r>
    </w:p>
    <w:p w:rsidR="00EC5D7E" w:rsidRDefault="00EC5D7E">
      <w:pPr>
        <w:ind w:firstLine="540"/>
        <w:jc w:val="both"/>
      </w:pPr>
    </w:p>
    <w:p w:rsidR="00EC5D7E" w:rsidRDefault="00EC5D7E">
      <w:pPr>
        <w:ind w:firstLine="540"/>
        <w:jc w:val="both"/>
      </w:pPr>
    </w:p>
    <w:p w:rsidR="00EC5D7E" w:rsidRDefault="0062334E">
      <w:pPr>
        <w:jc w:val="center"/>
      </w:pPr>
      <w:r>
        <w:t>Размеры должностных окладов</w:t>
      </w:r>
    </w:p>
    <w:p w:rsidR="00EC5D7E" w:rsidRDefault="0062334E">
      <w:pPr>
        <w:jc w:val="center"/>
      </w:pPr>
      <w:r>
        <w:t xml:space="preserve">работников учреждений культуры по </w:t>
      </w:r>
      <w:proofErr w:type="gramStart"/>
      <w:r>
        <w:t>профессиональным</w:t>
      </w:r>
      <w:proofErr w:type="gramEnd"/>
      <w:r>
        <w:t xml:space="preserve"> </w:t>
      </w:r>
    </w:p>
    <w:p w:rsidR="00EC5D7E" w:rsidRDefault="0062334E">
      <w:pPr>
        <w:jc w:val="center"/>
      </w:pPr>
      <w:r>
        <w:t>квалификационным группам (ПКГ)</w:t>
      </w:r>
    </w:p>
    <w:p w:rsidR="00EC5D7E" w:rsidRDefault="00EC5D7E">
      <w:pPr>
        <w:jc w:val="center"/>
      </w:pPr>
    </w:p>
    <w:p w:rsidR="00EC5D7E" w:rsidRDefault="006233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Профессиональные квалификационные группы должностей </w:t>
      </w:r>
    </w:p>
    <w:p w:rsidR="00EC5D7E" w:rsidRDefault="0062334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работников,</w:t>
      </w:r>
      <w:r>
        <w:rPr>
          <w:sz w:val="24"/>
          <w:szCs w:val="24"/>
        </w:rPr>
        <w:t xml:space="preserve"> относящихся к сфере культуры, искусства и кинематографии</w:t>
      </w:r>
    </w:p>
    <w:p w:rsidR="00EC5D7E" w:rsidRDefault="006233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(приказ </w:t>
      </w:r>
      <w:proofErr w:type="spellStart"/>
      <w:r>
        <w:rPr>
          <w:bCs/>
          <w:sz w:val="24"/>
          <w:szCs w:val="24"/>
        </w:rPr>
        <w:t>Минздравсоцразвития</w:t>
      </w:r>
      <w:proofErr w:type="spellEnd"/>
      <w:r>
        <w:rPr>
          <w:bCs/>
          <w:sz w:val="24"/>
          <w:szCs w:val="24"/>
        </w:rPr>
        <w:t xml:space="preserve"> России от 31.08.2007 г. № 570)</w:t>
      </w:r>
    </w:p>
    <w:p w:rsidR="00EC5D7E" w:rsidRDefault="00EC5D7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6"/>
        <w:gridCol w:w="2564"/>
      </w:tblGrid>
      <w:tr w:rsidR="00EC5D7E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E" w:rsidRDefault="0062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должности, отнесённой к профессиональной квалификационной группе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7E" w:rsidRDefault="0062334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Размер оклада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</w:rPr>
              <w:t>по должности (руб.)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13578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работников культуры и искусства ведущего звена»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14925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18287</w:t>
            </w:r>
          </w:p>
        </w:tc>
      </w:tr>
    </w:tbl>
    <w:p w:rsidR="00EC5D7E" w:rsidRDefault="00EC5D7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C5D7E" w:rsidRDefault="0062334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Профессиональные квалификационные группы</w:t>
      </w:r>
    </w:p>
    <w:p w:rsidR="00EC5D7E" w:rsidRDefault="0062334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общеотраслевых должностей руководителей, специалистов и служащих</w:t>
      </w:r>
    </w:p>
    <w:p w:rsidR="00EC5D7E" w:rsidRDefault="0062334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(Приказ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РФ от 29.05.2008 N 247н)</w:t>
      </w:r>
    </w:p>
    <w:p w:rsidR="00EC5D7E" w:rsidRDefault="00EC5D7E">
      <w:pPr>
        <w:jc w:val="center"/>
        <w:rPr>
          <w:bCs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6"/>
        <w:gridCol w:w="2564"/>
      </w:tblGrid>
      <w:tr w:rsidR="00EC5D7E">
        <w:trPr>
          <w:trHeight w:val="20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7E" w:rsidRDefault="0062334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EC5D7E">
        <w:trPr>
          <w:trHeight w:val="20"/>
        </w:trPr>
        <w:tc>
          <w:tcPr>
            <w:tcW w:w="10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ПГК «Общеотраслевые должности служащих первого уровня»</w:t>
            </w:r>
          </w:p>
        </w:tc>
      </w:tr>
      <w:tr w:rsidR="00EC5D7E">
        <w:trPr>
          <w:trHeight w:val="20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14925</w:t>
            </w:r>
          </w:p>
        </w:tc>
      </w:tr>
      <w:tr w:rsidR="00EC5D7E">
        <w:trPr>
          <w:trHeight w:val="20"/>
        </w:trPr>
        <w:tc>
          <w:tcPr>
            <w:tcW w:w="10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EC5D7E">
        <w:trPr>
          <w:trHeight w:val="20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17301</w:t>
            </w:r>
          </w:p>
        </w:tc>
      </w:tr>
      <w:tr w:rsidR="00EC5D7E">
        <w:trPr>
          <w:trHeight w:val="20"/>
        </w:trPr>
        <w:tc>
          <w:tcPr>
            <w:tcW w:w="10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EC5D7E">
        <w:trPr>
          <w:trHeight w:val="20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 (начальник отдела)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18287</w:t>
            </w:r>
          </w:p>
        </w:tc>
      </w:tr>
    </w:tbl>
    <w:p w:rsidR="00EC5D7E" w:rsidRDefault="00EC5D7E">
      <w:pPr>
        <w:ind w:firstLine="708"/>
        <w:jc w:val="both"/>
        <w:rPr>
          <w:bCs/>
          <w:sz w:val="24"/>
          <w:szCs w:val="24"/>
        </w:rPr>
      </w:pPr>
    </w:p>
    <w:p w:rsidR="00EC5D7E" w:rsidRDefault="0062334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3. Профессиональные квалификационные группы </w:t>
      </w:r>
      <w:r>
        <w:rPr>
          <w:sz w:val="24"/>
          <w:szCs w:val="24"/>
        </w:rPr>
        <w:t>общеотраслевых профессий рабочих</w:t>
      </w:r>
    </w:p>
    <w:p w:rsidR="00EC5D7E" w:rsidRDefault="0062334E">
      <w:pPr>
        <w:pStyle w:val="a3"/>
        <w:spacing w:before="0" w:after="0"/>
        <w:contextualSpacing/>
        <w:jc w:val="center"/>
      </w:pPr>
      <w:r>
        <w:t xml:space="preserve"> (приказ </w:t>
      </w:r>
      <w:proofErr w:type="spellStart"/>
      <w:r>
        <w:rPr>
          <w:bCs/>
        </w:rPr>
        <w:t>Минздравсоцразвития</w:t>
      </w:r>
      <w:proofErr w:type="spellEnd"/>
      <w:r>
        <w:rPr>
          <w:bCs/>
        </w:rPr>
        <w:t xml:space="preserve"> России  </w:t>
      </w:r>
      <w:r>
        <w:t>от 29.05.2008 г. № 248н)</w:t>
      </w:r>
    </w:p>
    <w:p w:rsidR="00EC5D7E" w:rsidRDefault="00EC5D7E">
      <w:pPr>
        <w:pStyle w:val="a3"/>
        <w:spacing w:before="0" w:after="0"/>
        <w:ind w:firstLine="709"/>
        <w:contextualSpacing/>
        <w:jc w:val="both"/>
        <w:rPr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6"/>
        <w:gridCol w:w="2564"/>
      </w:tblGrid>
      <w:tr w:rsidR="00EC5D7E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уровень, наименование профессии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7E" w:rsidRDefault="0062334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EC5D7E">
        <w:trPr>
          <w:trHeight w:val="20"/>
        </w:trPr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ПГК «Общеотраслевые профессии рабочих первого уровня»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</w:t>
            </w:r>
          </w:p>
        </w:tc>
      </w:tr>
      <w:tr w:rsidR="00EC5D7E">
        <w:trPr>
          <w:trHeight w:val="20"/>
        </w:trPr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11279</w:t>
            </w:r>
          </w:p>
        </w:tc>
      </w:tr>
      <w:tr w:rsidR="00EC5D7E">
        <w:trPr>
          <w:trHeight w:val="20"/>
        </w:trPr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профессии рабочих четвертого уровня»</w:t>
            </w:r>
          </w:p>
        </w:tc>
      </w:tr>
      <w:tr w:rsidR="00EC5D7E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7E" w:rsidRDefault="0062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D7E" w:rsidRDefault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18287</w:t>
            </w:r>
          </w:p>
        </w:tc>
      </w:tr>
    </w:tbl>
    <w:p w:rsidR="00EC5D7E" w:rsidRDefault="0062334E">
      <w:r>
        <w:br w:type="page"/>
      </w:r>
    </w:p>
    <w:p w:rsidR="00EC5D7E" w:rsidRDefault="0062334E">
      <w:pPr>
        <w:ind w:left="5040"/>
        <w:jc w:val="both"/>
      </w:pPr>
      <w:r>
        <w:lastRenderedPageBreak/>
        <w:t>Приложение № 2</w:t>
      </w:r>
    </w:p>
    <w:p w:rsidR="00EC5D7E" w:rsidRDefault="0062334E">
      <w:pPr>
        <w:ind w:left="5040"/>
        <w:jc w:val="both"/>
      </w:pPr>
      <w:r>
        <w:t>к положению по оплате труда работников МКУК «</w:t>
      </w:r>
      <w:proofErr w:type="spellStart"/>
      <w:r>
        <w:t>Солонецкий</w:t>
      </w:r>
      <w:proofErr w:type="spellEnd"/>
      <w:r>
        <w:t xml:space="preserve"> центр культуры» </w:t>
      </w:r>
    </w:p>
    <w:p w:rsidR="00EC5D7E" w:rsidRDefault="00EC5D7E">
      <w:pPr>
        <w:rPr>
          <w:szCs w:val="24"/>
        </w:rPr>
      </w:pPr>
    </w:p>
    <w:p w:rsidR="00EC5D7E" w:rsidRDefault="00EC5D7E"/>
    <w:p w:rsidR="00EC5D7E" w:rsidRPr="004E0A87" w:rsidRDefault="0062334E">
      <w:pPr>
        <w:autoSpaceDE w:val="0"/>
        <w:autoSpaceDN w:val="0"/>
        <w:adjustRightInd w:val="0"/>
        <w:spacing w:line="360" w:lineRule="auto"/>
        <w:jc w:val="center"/>
        <w:outlineLvl w:val="2"/>
        <w:rPr>
          <w:b/>
        </w:rPr>
      </w:pPr>
      <w:r w:rsidRPr="004E0A87">
        <w:rPr>
          <w:b/>
        </w:rPr>
        <w:t xml:space="preserve">Перечень </w:t>
      </w:r>
    </w:p>
    <w:p w:rsidR="00EC5D7E" w:rsidRPr="004E0A87" w:rsidRDefault="006233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E0A87">
        <w:rPr>
          <w:b/>
        </w:rPr>
        <w:t>должностей работников (профессий), относимых к основному персоналу</w:t>
      </w:r>
    </w:p>
    <w:p w:rsidR="00EC5D7E" w:rsidRDefault="00EC5D7E">
      <w:pPr>
        <w:autoSpaceDE w:val="0"/>
        <w:autoSpaceDN w:val="0"/>
        <w:adjustRightInd w:val="0"/>
        <w:jc w:val="center"/>
      </w:pPr>
    </w:p>
    <w:p w:rsidR="00EC5D7E" w:rsidRDefault="0062334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4"/>
        </w:rPr>
      </w:pPr>
      <w:r>
        <w:t>Заведующий, культорганизатор, руководитель кружка.</w:t>
      </w:r>
    </w:p>
    <w:p w:rsidR="00EC5D7E" w:rsidRDefault="00EC5D7E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7"/>
          <w:szCs w:val="27"/>
        </w:rPr>
      </w:pPr>
    </w:p>
    <w:p w:rsidR="00EC5D7E" w:rsidRDefault="00EC5D7E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7"/>
          <w:szCs w:val="27"/>
        </w:rPr>
      </w:pPr>
      <w:bookmarkStart w:id="0" w:name="_GoBack"/>
      <w:bookmarkEnd w:id="0"/>
    </w:p>
    <w:p w:rsidR="00EC5D7E" w:rsidRDefault="00EC5D7E"/>
    <w:sectPr w:rsidR="00EC5D7E" w:rsidSect="0062334E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7E"/>
    <w:rsid w:val="00197C3D"/>
    <w:rsid w:val="002F5A42"/>
    <w:rsid w:val="004E0A87"/>
    <w:rsid w:val="005629E2"/>
    <w:rsid w:val="0062334E"/>
    <w:rsid w:val="00EC5D7E"/>
    <w:rsid w:val="035D52A1"/>
    <w:rsid w:val="2178320B"/>
    <w:rsid w:val="5D1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">
    <w:name w:val="Обычный1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4">
    <w:name w:val="No Spacing"/>
    <w:uiPriority w:val="99"/>
    <w:unhideWhenUsed/>
    <w:rsid w:val="005629E2"/>
    <w:rPr>
      <w:rFonts w:eastAsia="Times New Roman"/>
      <w:sz w:val="28"/>
      <w:szCs w:val="28"/>
    </w:rPr>
  </w:style>
  <w:style w:type="paragraph" w:styleId="a5">
    <w:name w:val="Balloon Text"/>
    <w:basedOn w:val="a"/>
    <w:link w:val="a6"/>
    <w:rsid w:val="00623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3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">
    <w:name w:val="Обычный1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4">
    <w:name w:val="No Spacing"/>
    <w:uiPriority w:val="99"/>
    <w:unhideWhenUsed/>
    <w:rsid w:val="005629E2"/>
    <w:rPr>
      <w:rFonts w:eastAsia="Times New Roman"/>
      <w:sz w:val="28"/>
      <w:szCs w:val="28"/>
    </w:rPr>
  </w:style>
  <w:style w:type="paragraph" w:styleId="a5">
    <w:name w:val="Balloon Text"/>
    <w:basedOn w:val="a"/>
    <w:link w:val="a6"/>
    <w:rsid w:val="00623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3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</cp:lastModifiedBy>
  <cp:revision>2</cp:revision>
  <cp:lastPrinted>2024-01-09T08:20:00Z</cp:lastPrinted>
  <dcterms:created xsi:type="dcterms:W3CDTF">2024-01-09T08:23:00Z</dcterms:created>
  <dcterms:modified xsi:type="dcterms:W3CDTF">2024-01-09T08:23:00Z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097BA7DBB8754D089063A758A3D6170C_13</vt:lpwstr>
  </property>
</Properties>
</file>